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702B4BAE">
      <w:pPr>
        <w:numPr>
          <w:ilvl w:val="0"/>
          <w:numId w:val="0"/>
        </w:numPr>
        <w:rPr>
          <w:rFonts w:hint="eastAsia"/>
          <w:lang w:val="en-US" w:eastAsia="zh-CN"/>
        </w:rPr>
      </w:pPr>
    </w:p>
    <w:p w14:paraId="4D5BB20F">
      <w:pPr>
        <w:numPr>
          <w:ilvl w:val="0"/>
          <w:numId w:val="0"/>
        </w:numPr>
        <w:rPr>
          <w:rFonts w:hint="eastAsia"/>
          <w:lang w:val="en-US" w:eastAsia="zh-CN"/>
        </w:rPr>
      </w:pPr>
    </w:p>
    <w:p w14:paraId="2148D331">
      <w:pPr>
        <w:numPr>
          <w:ilvl w:val="0"/>
          <w:numId w:val="0"/>
        </w:numPr>
        <w:rPr>
          <w:rFonts w:hint="eastAsia"/>
          <w:lang w:val="en-US" w:eastAsia="zh-CN"/>
        </w:rPr>
      </w:pPr>
    </w:p>
    <w:p w14:paraId="69309452">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ind w:left="0" w:leftChars="0" w:firstLine="0" w:firstLineChars="0"/>
        <w:rPr>
          <w:rFonts w:hint="eastAsia"/>
          <w:lang w:val="en-US" w:eastAsia="zh-CN"/>
        </w:rPr>
      </w:pPr>
    </w:p>
    <w:p w14:paraId="573D04A4">
      <w:pPr>
        <w:rPr>
          <w:rFonts w:hint="eastAsia"/>
          <w:lang w:val="en-US" w:eastAsia="zh-CN"/>
        </w:rPr>
      </w:pPr>
    </w:p>
    <w:p w14:paraId="692670B2">
      <w:pPr>
        <w:numPr>
          <w:ilvl w:val="0"/>
          <w:numId w:val="0"/>
        </w:numPr>
        <w:jc w:val="center"/>
        <w:rPr>
          <w:rFonts w:hint="eastAsia" w:ascii="宋体" w:hAnsi="宋体" w:eastAsia="宋体" w:cs="宋体"/>
          <w:b/>
          <w:i w:val="0"/>
          <w:caps/>
          <w:color w:val="333333"/>
          <w:spacing w:val="0"/>
          <w:sz w:val="32"/>
          <w:szCs w:val="32"/>
          <w:lang w:val="en-US" w:eastAsia="zh-CN"/>
        </w:rPr>
      </w:pPr>
      <w:bookmarkStart w:id="1" w:name="_GoBack"/>
      <w:r>
        <w:rPr>
          <w:rFonts w:hint="eastAsia" w:ascii="宋体" w:hAnsi="宋体" w:eastAsia="宋体" w:cs="宋体"/>
          <w:b/>
          <w:i w:val="0"/>
          <w:caps/>
          <w:color w:val="333333"/>
          <w:spacing w:val="0"/>
          <w:sz w:val="36"/>
          <w:szCs w:val="36"/>
          <w:lang w:val="en-US" w:eastAsia="zh-CN"/>
        </w:rPr>
        <w:t>东胜部消防控制室相关项目</w:t>
      </w:r>
    </w:p>
    <w:bookmarkEnd w:id="1"/>
    <w:p w14:paraId="1CF9C66C">
      <w:pPr>
        <w:pStyle w:val="19"/>
        <w:rPr>
          <w:rFonts w:hint="eastAsia"/>
          <w:lang w:val="en-US" w:eastAsia="zh-CN"/>
        </w:rPr>
      </w:pP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2026年10月22日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6D2F48B9">
      <w:pPr>
        <w:numPr>
          <w:ilvl w:val="0"/>
          <w:numId w:val="0"/>
        </w:numPr>
        <w:spacing w:line="360" w:lineRule="auto"/>
        <w:jc w:val="left"/>
        <w:rPr>
          <w:rFonts w:hint="eastAsia" w:hAnsi="宋体"/>
          <w:sz w:val="24"/>
          <w:szCs w:val="24"/>
          <w:lang w:val="en-US" w:eastAsia="zh-CN"/>
        </w:rPr>
      </w:pPr>
    </w:p>
    <w:p w14:paraId="4CCC5FC8">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100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5716"/>
        <w:gridCol w:w="975"/>
        <w:gridCol w:w="915"/>
        <w:gridCol w:w="1390"/>
      </w:tblGrid>
      <w:tr w14:paraId="12CE5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5716" w:type="dxa"/>
            <w:vAlign w:val="center"/>
          </w:tcPr>
          <w:p w14:paraId="3E37CC3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975" w:type="dxa"/>
            <w:vAlign w:val="center"/>
          </w:tcPr>
          <w:p w14:paraId="07310B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915"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390" w:type="dxa"/>
            <w:vAlign w:val="center"/>
          </w:tcPr>
          <w:p w14:paraId="31BF7F1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预算小计</w:t>
            </w:r>
          </w:p>
        </w:tc>
      </w:tr>
      <w:tr w14:paraId="6C832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7C02F42">
            <w:pPr>
              <w:jc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包1</w:t>
            </w:r>
          </w:p>
        </w:tc>
        <w:tc>
          <w:tcPr>
            <w:tcW w:w="5716" w:type="dxa"/>
            <w:vAlign w:val="center"/>
          </w:tcPr>
          <w:p w14:paraId="76F16622">
            <w:pPr>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东胜部院区安防系统升级改造及设备搬迁整合项目</w:t>
            </w:r>
          </w:p>
        </w:tc>
        <w:tc>
          <w:tcPr>
            <w:tcW w:w="975" w:type="dxa"/>
            <w:vAlign w:val="center"/>
          </w:tcPr>
          <w:p w14:paraId="569A970B">
            <w:pPr>
              <w:jc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915" w:type="dxa"/>
            <w:vAlign w:val="center"/>
          </w:tcPr>
          <w:p w14:paraId="535899AF">
            <w:pPr>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390" w:type="dxa"/>
            <w:vAlign w:val="center"/>
          </w:tcPr>
          <w:p w14:paraId="0712C338">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123000</w:t>
            </w:r>
          </w:p>
        </w:tc>
      </w:tr>
      <w:tr w14:paraId="50448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709E3F8">
            <w:pPr>
              <w:jc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包2</w:t>
            </w:r>
          </w:p>
        </w:tc>
        <w:tc>
          <w:tcPr>
            <w:tcW w:w="5716" w:type="dxa"/>
            <w:vAlign w:val="center"/>
          </w:tcPr>
          <w:p w14:paraId="0428853F">
            <w:pPr>
              <w:jc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东胜部院区消防系统升级改造及设备搬迁整合项目</w:t>
            </w:r>
          </w:p>
        </w:tc>
        <w:tc>
          <w:tcPr>
            <w:tcW w:w="975" w:type="dxa"/>
            <w:vAlign w:val="center"/>
          </w:tcPr>
          <w:p w14:paraId="69B5E7FD">
            <w:pPr>
              <w:jc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915" w:type="dxa"/>
            <w:vAlign w:val="center"/>
          </w:tcPr>
          <w:p w14:paraId="1DA39601">
            <w:pPr>
              <w:jc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390" w:type="dxa"/>
            <w:vAlign w:val="center"/>
          </w:tcPr>
          <w:p w14:paraId="5F3D029A">
            <w:pPr>
              <w:keepNext w:val="0"/>
              <w:keepLines w:val="0"/>
              <w:pageBreakBefore w:val="0"/>
              <w:widowControl/>
              <w:kinsoku/>
              <w:wordWrap/>
              <w:overflowPunct/>
              <w:topLinePunct w:val="0"/>
              <w:autoSpaceDE/>
              <w:autoSpaceDN/>
              <w:bidi w:val="0"/>
              <w:adjustRightInd/>
              <w:snapToGrid/>
              <w:ind w:firstLine="280" w:firstLineChars="100"/>
              <w:jc w:val="left"/>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77300</w:t>
            </w:r>
          </w:p>
        </w:tc>
      </w:tr>
      <w:tr w14:paraId="122BF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5F5313C9">
            <w:pPr>
              <w:jc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包3</w:t>
            </w:r>
          </w:p>
        </w:tc>
        <w:tc>
          <w:tcPr>
            <w:tcW w:w="5716" w:type="dxa"/>
            <w:vAlign w:val="center"/>
          </w:tcPr>
          <w:p w14:paraId="2BE1287A">
            <w:pPr>
              <w:jc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东胜部院区五方对讲系统整改项目</w:t>
            </w:r>
          </w:p>
        </w:tc>
        <w:tc>
          <w:tcPr>
            <w:tcW w:w="975" w:type="dxa"/>
            <w:vAlign w:val="center"/>
          </w:tcPr>
          <w:p w14:paraId="631F222B">
            <w:pPr>
              <w:jc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915" w:type="dxa"/>
            <w:vAlign w:val="center"/>
          </w:tcPr>
          <w:p w14:paraId="33CBD1CE">
            <w:pPr>
              <w:jc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390" w:type="dxa"/>
            <w:vAlign w:val="center"/>
          </w:tcPr>
          <w:p w14:paraId="0446D4BE">
            <w:pPr>
              <w:keepNext w:val="0"/>
              <w:keepLines w:val="0"/>
              <w:pageBreakBefore w:val="0"/>
              <w:widowControl/>
              <w:kinsoku/>
              <w:wordWrap/>
              <w:overflowPunct/>
              <w:topLinePunct w:val="0"/>
              <w:autoSpaceDE/>
              <w:autoSpaceDN/>
              <w:bidi w:val="0"/>
              <w:adjustRightInd/>
              <w:snapToGrid/>
              <w:ind w:firstLine="280" w:firstLineChars="1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64640</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754C4079">
            <w:pPr>
              <w:widowControl/>
              <w:jc w:val="center"/>
              <w:textAlignment w:val="center"/>
              <w:rPr>
                <w:rFonts w:hint="eastAsia" w:ascii="宋体" w:hAnsi="宋体" w:eastAsia="宋体" w:cs="宋体"/>
                <w:kern w:val="0"/>
                <w:sz w:val="28"/>
                <w:szCs w:val="28"/>
                <w:lang w:val="en-US" w:eastAsia="zh-CN"/>
              </w:rPr>
            </w:pPr>
          </w:p>
        </w:tc>
        <w:tc>
          <w:tcPr>
            <w:tcW w:w="7606" w:type="dxa"/>
            <w:gridSpan w:val="3"/>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预算总价合计</w:t>
            </w:r>
          </w:p>
        </w:tc>
        <w:tc>
          <w:tcPr>
            <w:tcW w:w="1390" w:type="dxa"/>
            <w:vAlign w:val="center"/>
          </w:tcPr>
          <w:p w14:paraId="1CE8AE64">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264940</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5716"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3280" w:type="dxa"/>
            <w:gridSpan w:val="3"/>
            <w:vAlign w:val="center"/>
          </w:tcPr>
          <w:p w14:paraId="7217420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合同签订后3日内进场，30天内完成全部施工、系统调试、试运行，达到竣工验收条件。</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5716"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3280" w:type="dxa"/>
            <w:gridSpan w:val="3"/>
            <w:vAlign w:val="center"/>
          </w:tcPr>
          <w:p w14:paraId="56B9AF7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整体项目质保期不少于2年（自竣工验收合格之日起算，包含新增设备、线缆等）；质保期内提供7×24小时故障响应服务。</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3" w:hRule="atLeast"/>
          <w:jc w:val="center"/>
        </w:trPr>
        <w:tc>
          <w:tcPr>
            <w:tcW w:w="1091"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5716"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3280" w:type="dxa"/>
            <w:gridSpan w:val="3"/>
            <w:vAlign w:val="center"/>
          </w:tcPr>
          <w:p w14:paraId="0658054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项目竣工验收合格后支付合同总价90%；验收合格后满第二年，无质量问题付清剩余10%。</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5716" w:type="dxa"/>
            <w:vAlign w:val="center"/>
          </w:tcPr>
          <w:p w14:paraId="2FD57B8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3280" w:type="dxa"/>
            <w:gridSpan w:val="3"/>
            <w:vAlign w:val="center"/>
          </w:tcPr>
          <w:p w14:paraId="4B29C0F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w:t>
            </w:r>
          </w:p>
        </w:tc>
      </w:tr>
      <w:tr w14:paraId="67CDC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3F89EB0D">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5716" w:type="dxa"/>
            <w:vAlign w:val="center"/>
          </w:tcPr>
          <w:p w14:paraId="5AE3EFF8">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投标要求</w:t>
            </w:r>
          </w:p>
        </w:tc>
        <w:tc>
          <w:tcPr>
            <w:tcW w:w="3280" w:type="dxa"/>
            <w:gridSpan w:val="3"/>
            <w:vAlign w:val="center"/>
          </w:tcPr>
          <w:p w14:paraId="66FA5E48">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本项目分为3包，投标人可分投、可兼投</w:t>
            </w: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687F053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02" w:firstLineChars="200"/>
        <w:textAlignment w:val="auto"/>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项目概况</w:t>
      </w:r>
    </w:p>
    <w:p w14:paraId="643E1BD7">
      <w:pPr>
        <w:rPr>
          <w:rFonts w:ascii="Arial" w:hAnsi="Arial" w:eastAsia="Arial" w:cs="Arial"/>
          <w:sz w:val="21"/>
          <w:szCs w:val="21"/>
        </w:rPr>
      </w:pPr>
    </w:p>
    <w:p w14:paraId="2E81A862">
      <w:pPr>
        <w:spacing w:line="360" w:lineRule="auto"/>
        <w:jc w:val="left"/>
        <w:rPr>
          <w:rFonts w:ascii="宋体" w:hAnsi="宋体" w:eastAsia="宋体"/>
          <w:sz w:val="32"/>
          <w:szCs w:val="32"/>
          <w:u w:val="single"/>
        </w:rPr>
      </w:pPr>
      <w:r>
        <w:rPr>
          <w:rFonts w:hint="eastAsia" w:ascii="宋体" w:hAnsi="宋体" w:eastAsia="宋体"/>
          <w:sz w:val="28"/>
          <w:szCs w:val="28"/>
        </w:rPr>
        <w:t>（1）项目基本情况介绍</w:t>
      </w:r>
      <w:r>
        <w:rPr>
          <w:rFonts w:hint="eastAsia" w:ascii="宋体" w:hAnsi="宋体" w:eastAsia="宋体"/>
          <w:sz w:val="32"/>
          <w:szCs w:val="32"/>
        </w:rPr>
        <w:t>：</w:t>
      </w:r>
      <w:r>
        <w:rPr>
          <w:rFonts w:hint="eastAsia" w:ascii="仿宋_GB2312" w:hAnsi="仿宋_GB2312" w:eastAsia="仿宋_GB2312" w:cs="仿宋_GB2312"/>
          <w:sz w:val="32"/>
          <w:szCs w:val="32"/>
          <w:u w:val="single"/>
        </w:rPr>
        <w:t>本项目针对</w:t>
      </w:r>
      <w:r>
        <w:rPr>
          <w:rFonts w:hint="eastAsia" w:ascii="仿宋_GB2312" w:hAnsi="仿宋_GB2312" w:eastAsia="仿宋_GB2312" w:cs="仿宋_GB2312"/>
          <w:sz w:val="32"/>
          <w:szCs w:val="32"/>
          <w:u w:val="single"/>
          <w:lang w:val="en-US" w:eastAsia="zh-CN"/>
        </w:rPr>
        <w:t>我院东胜部三个</w:t>
      </w:r>
      <w:r>
        <w:rPr>
          <w:rFonts w:hint="eastAsia" w:ascii="仿宋_GB2312" w:hAnsi="仿宋_GB2312" w:eastAsia="仿宋_GB2312" w:cs="仿宋_GB2312"/>
          <w:sz w:val="32"/>
          <w:szCs w:val="32"/>
          <w:u w:val="single"/>
        </w:rPr>
        <w:t>独立运行的</w:t>
      </w:r>
      <w:r>
        <w:rPr>
          <w:rFonts w:hint="eastAsia" w:ascii="仿宋_GB2312" w:hAnsi="仿宋_GB2312" w:eastAsia="仿宋_GB2312" w:cs="仿宋_GB2312"/>
          <w:sz w:val="32"/>
          <w:szCs w:val="32"/>
          <w:u w:val="single"/>
          <w:lang w:val="en-US" w:eastAsia="zh-CN"/>
        </w:rPr>
        <w:t>消防中控室</w:t>
      </w:r>
      <w:r>
        <w:rPr>
          <w:rFonts w:hint="eastAsia" w:ascii="仿宋_GB2312" w:hAnsi="仿宋_GB2312" w:eastAsia="仿宋_GB2312" w:cs="仿宋_GB2312"/>
          <w:sz w:val="32"/>
          <w:szCs w:val="32"/>
          <w:u w:val="single"/>
        </w:rPr>
        <w:t>实施同室集中整合改造，</w:t>
      </w:r>
      <w:r>
        <w:rPr>
          <w:rFonts w:hint="eastAsia" w:ascii="仿宋_GB2312" w:hAnsi="仿宋_GB2312" w:eastAsia="仿宋_GB2312" w:cs="仿宋_GB2312"/>
          <w:sz w:val="32"/>
          <w:szCs w:val="32"/>
          <w:u w:val="single"/>
          <w:lang w:val="en-US" w:eastAsia="zh-CN"/>
        </w:rPr>
        <w:t>包含</w:t>
      </w:r>
      <w:r>
        <w:rPr>
          <w:rFonts w:hint="eastAsia" w:ascii="仿宋_GB2312" w:hAnsi="仿宋_GB2312" w:eastAsia="仿宋_GB2312" w:cs="仿宋_GB2312"/>
          <w:sz w:val="32"/>
          <w:szCs w:val="32"/>
          <w:u w:val="single"/>
        </w:rPr>
        <w:t>将</w:t>
      </w:r>
      <w:r>
        <w:rPr>
          <w:rFonts w:hint="eastAsia" w:ascii="仿宋_GB2312" w:hAnsi="仿宋_GB2312" w:eastAsia="仿宋_GB2312" w:cs="仿宋_GB2312"/>
          <w:sz w:val="32"/>
          <w:szCs w:val="32"/>
          <w:u w:val="single"/>
          <w:lang w:val="en-US" w:eastAsia="zh-CN"/>
        </w:rPr>
        <w:t>联动型火灾报警控制器</w:t>
      </w:r>
      <w:r>
        <w:rPr>
          <w:rFonts w:hint="eastAsia" w:ascii="仿宋_GB2312" w:hAnsi="仿宋_GB2312" w:eastAsia="仿宋_GB2312" w:cs="仿宋_GB2312"/>
          <w:sz w:val="32"/>
          <w:szCs w:val="32"/>
          <w:u w:val="single"/>
        </w:rPr>
        <w:t>统一迁移、</w:t>
      </w:r>
      <w:r>
        <w:rPr>
          <w:rFonts w:hint="eastAsia" w:ascii="仿宋_GB2312" w:hAnsi="仿宋_GB2312" w:eastAsia="仿宋_GB2312" w:cs="仿宋_GB2312"/>
          <w:sz w:val="32"/>
          <w:szCs w:val="32"/>
          <w:u w:val="single"/>
          <w:lang w:val="en-US" w:eastAsia="zh-CN"/>
        </w:rPr>
        <w:t>安防平台搬迁、电梯五方对讲系统一体化改造。解决现有设备承载不足、系统分散独立、线路杂乱、机房布局不合理等问题，实现全院安防系统集中统一管理、稳定规范运行，整体工程符合国家现行安防、消防、弱电施工相关规范标准，确保系统完工后正常投入使用并通过验收。投标人应自行踏勘现场，充分掌握现场机房、线缆路由、设备现状、建筑环境，投标报价包含所有现场风险。</w:t>
      </w:r>
    </w:p>
    <w:p w14:paraId="75CA7EFA">
      <w:pPr>
        <w:spacing w:line="360" w:lineRule="auto"/>
        <w:jc w:val="left"/>
        <w:rPr>
          <w:rFonts w:hint="eastAsia" w:ascii="宋体" w:hAnsi="宋体" w:eastAsia="宋体" w:cs="宋体"/>
          <w:sz w:val="32"/>
          <w:szCs w:val="32"/>
        </w:rPr>
      </w:pPr>
      <w:r>
        <w:rPr>
          <w:rFonts w:hint="eastAsia" w:ascii="宋体" w:hAnsi="宋体" w:eastAsia="宋体" w:cs="宋体"/>
          <w:sz w:val="32"/>
          <w:szCs w:val="32"/>
        </w:rPr>
        <w:t>（2）技术参数和要求（功能和质量）</w:t>
      </w:r>
    </w:p>
    <w:p w14:paraId="03128F28">
      <w:pPr>
        <w:spacing w:line="360" w:lineRule="auto"/>
        <w:jc w:val="left"/>
        <w:rPr>
          <w:rFonts w:hint="eastAsia" w:ascii="宋体" w:hAnsi="宋体" w:eastAsia="宋体" w:cs="宋体"/>
          <w:sz w:val="32"/>
          <w:szCs w:val="32"/>
        </w:rPr>
      </w:pPr>
      <w:r>
        <w:rPr>
          <w:rFonts w:hint="eastAsia" w:ascii="仿宋_GB2312" w:hAnsi="仿宋_GB2312" w:eastAsia="仿宋_GB2312" w:cs="仿宋_GB2312"/>
          <w:sz w:val="32"/>
          <w:szCs w:val="32"/>
          <w:lang w:val="en-US" w:eastAsia="zh-CN"/>
        </w:rPr>
        <w:t>包1.</w:t>
      </w:r>
    </w:p>
    <w:tbl>
      <w:tblPr>
        <w:tblStyle w:val="15"/>
        <w:tblW w:w="9810" w:type="dxa"/>
        <w:jc w:val="center"/>
        <w:tblLayout w:type="fixed"/>
        <w:tblCellMar>
          <w:top w:w="0" w:type="dxa"/>
          <w:left w:w="108" w:type="dxa"/>
          <w:bottom w:w="0" w:type="dxa"/>
          <w:right w:w="108" w:type="dxa"/>
        </w:tblCellMar>
      </w:tblPr>
      <w:tblGrid>
        <w:gridCol w:w="1555"/>
        <w:gridCol w:w="1134"/>
        <w:gridCol w:w="7121"/>
      </w:tblGrid>
      <w:tr w14:paraId="7E759BFE">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ascii="宋体" w:hAnsi="宋体" w:eastAsia="宋体" w:cs="宋体"/>
                <w:sz w:val="32"/>
                <w:szCs w:val="32"/>
              </w:rPr>
            </w:pPr>
            <w:r>
              <w:rPr>
                <w:rFonts w:hint="eastAsia" w:ascii="宋体" w:hAnsi="宋体" w:eastAsia="宋体" w:cs="宋体"/>
                <w:sz w:val="32"/>
                <w:szCs w:val="32"/>
              </w:rPr>
              <w:t>参数性质</w:t>
            </w:r>
          </w:p>
        </w:tc>
        <w:tc>
          <w:tcPr>
            <w:tcW w:w="1134" w:type="dxa"/>
            <w:tcBorders>
              <w:top w:val="single" w:color="auto" w:sz="4" w:space="0"/>
              <w:left w:val="nil"/>
              <w:bottom w:val="single" w:color="auto" w:sz="4" w:space="0"/>
              <w:right w:val="single" w:color="auto" w:sz="4" w:space="0"/>
            </w:tcBorders>
            <w:vAlign w:val="center"/>
          </w:tcPr>
          <w:p w14:paraId="247E3B3A">
            <w:pPr>
              <w:widowControl/>
              <w:jc w:val="center"/>
              <w:rPr>
                <w:rFonts w:ascii="宋体" w:hAnsi="宋体" w:eastAsia="宋体" w:cs="宋体"/>
                <w:sz w:val="32"/>
                <w:szCs w:val="32"/>
              </w:rPr>
            </w:pPr>
            <w:r>
              <w:rPr>
                <w:rFonts w:hint="eastAsia" w:ascii="宋体" w:hAnsi="宋体" w:eastAsia="宋体" w:cs="宋体"/>
                <w:sz w:val="32"/>
                <w:szCs w:val="32"/>
              </w:rPr>
              <w:t>编号</w:t>
            </w:r>
          </w:p>
        </w:tc>
        <w:tc>
          <w:tcPr>
            <w:tcW w:w="7121" w:type="dxa"/>
            <w:tcBorders>
              <w:top w:val="single" w:color="auto" w:sz="4" w:space="0"/>
              <w:left w:val="nil"/>
              <w:bottom w:val="single" w:color="auto" w:sz="4" w:space="0"/>
              <w:right w:val="single" w:color="auto" w:sz="4" w:space="0"/>
            </w:tcBorders>
            <w:vAlign w:val="center"/>
          </w:tcPr>
          <w:p w14:paraId="19B2E130">
            <w:pPr>
              <w:widowControl/>
              <w:jc w:val="center"/>
              <w:rPr>
                <w:rFonts w:ascii="宋体" w:hAnsi="宋体" w:eastAsia="宋体" w:cs="宋体"/>
                <w:sz w:val="32"/>
                <w:szCs w:val="32"/>
              </w:rPr>
            </w:pPr>
            <w:r>
              <w:rPr>
                <w:rFonts w:hint="eastAsia" w:ascii="宋体" w:hAnsi="宋体" w:eastAsia="宋体" w:cs="宋体"/>
                <w:sz w:val="32"/>
                <w:szCs w:val="32"/>
              </w:rPr>
              <w:t>技术参数和要求</w:t>
            </w:r>
          </w:p>
        </w:tc>
      </w:tr>
      <w:tr w14:paraId="3766A3F1">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widowControl/>
              <w:jc w:val="center"/>
              <w:rPr>
                <w:rFonts w:ascii="宋体" w:hAnsi="宋体" w:eastAsia="宋体" w:cs="宋体"/>
                <w:sz w:val="32"/>
                <w:szCs w:val="32"/>
              </w:rPr>
            </w:pPr>
            <w:r>
              <w:rPr>
                <w:rFonts w:hint="eastAsia" w:ascii="宋体" w:hAnsi="宋体" w:eastAsia="宋体"/>
                <w:color w:val="000000"/>
                <w:sz w:val="24"/>
                <w:lang w:val="en-US" w:eastAsia="zh-CN"/>
              </w:rPr>
              <w:t>★</w:t>
            </w:r>
          </w:p>
        </w:tc>
        <w:tc>
          <w:tcPr>
            <w:tcW w:w="1134" w:type="dxa"/>
            <w:tcBorders>
              <w:top w:val="single" w:color="auto" w:sz="4" w:space="0"/>
              <w:left w:val="nil"/>
              <w:bottom w:val="single" w:color="auto" w:sz="4" w:space="0"/>
              <w:right w:val="single" w:color="auto" w:sz="4" w:space="0"/>
            </w:tcBorders>
            <w:vAlign w:val="center"/>
          </w:tcPr>
          <w:p w14:paraId="5095C250">
            <w:pPr>
              <w:widowControl/>
              <w:jc w:val="center"/>
              <w:rPr>
                <w:rFonts w:ascii="宋体" w:hAnsi="宋体" w:eastAsia="宋体" w:cs="宋体"/>
                <w:sz w:val="32"/>
                <w:szCs w:val="32"/>
              </w:rPr>
            </w:pPr>
            <w:r>
              <w:rPr>
                <w:rFonts w:hint="eastAsia" w:ascii="宋体" w:hAnsi="宋体" w:eastAsia="宋体" w:cs="宋体"/>
                <w:sz w:val="32"/>
                <w:szCs w:val="32"/>
              </w:rPr>
              <w:t>1</w:t>
            </w:r>
          </w:p>
        </w:tc>
        <w:tc>
          <w:tcPr>
            <w:tcW w:w="7121" w:type="dxa"/>
            <w:tcBorders>
              <w:top w:val="single" w:color="auto" w:sz="4" w:space="0"/>
              <w:left w:val="nil"/>
              <w:bottom w:val="single" w:color="auto" w:sz="4" w:space="0"/>
              <w:right w:val="single" w:color="auto" w:sz="4" w:space="0"/>
            </w:tcBorders>
            <w:vAlign w:val="center"/>
          </w:tcPr>
          <w:p w14:paraId="3495A229">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平台扩容：</w:t>
            </w:r>
            <w:r>
              <w:rPr>
                <w:rFonts w:hint="eastAsia" w:ascii="宋体" w:hAnsi="宋体" w:eastAsia="宋体" w:cs="宋体"/>
                <w:kern w:val="2"/>
                <w:sz w:val="24"/>
                <w:szCs w:val="24"/>
                <w:lang w:val="en-US" w:eastAsia="zh-CN" w:bidi="ar-SA"/>
              </w:rPr>
              <w:t>本次为软件扩容，基于医院现有综合安防管理平台进行授权扩容，包含300路视频授权，</w:t>
            </w:r>
            <w:r>
              <w:rPr>
                <w:rFonts w:ascii="宋体" w:hAnsi="宋体" w:eastAsia="宋体" w:cs="宋体"/>
                <w:sz w:val="24"/>
                <w:szCs w:val="24"/>
              </w:rPr>
              <w:t>本次采购为永久软件授权，无后续年度授权费用</w:t>
            </w:r>
            <w:r>
              <w:rPr>
                <w:rFonts w:hint="eastAsia" w:ascii="宋体" w:hAnsi="宋体" w:eastAsia="宋体" w:cs="宋体"/>
                <w:kern w:val="2"/>
                <w:sz w:val="24"/>
                <w:szCs w:val="24"/>
                <w:lang w:val="en-US" w:eastAsia="zh-CN" w:bidi="ar-SA"/>
              </w:rPr>
              <w:t>。为保证系统运行稳定性、兼容性，所投产品需与医院原有安防平台以及设备无缝对接，若由此产生的任何费用由投标人自行承担。投标供应商须提供设备制造商针对此项目的对接承诺函加盖厂家公章。</w:t>
            </w:r>
          </w:p>
          <w:p w14:paraId="7EB355F5">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支持多网域访问，支持AD域，支持校时功能，支持数据库的备份和恢复，支持部署组件（服务）到服务器集群，并进行集群管理，支持双机热备，支持IPv6网络环境下平台部署；支持用户以IPv6的方式进行平台访问和业务应用实现；支持通过IPv6的方式添加视频设备、停车场出入口设备、门禁设备等；运行管理中心提供统一的认证、授权管理机制，支持HTTPS以及密码安全加密访问认证；支持验证码、连续登录尝试次数、用户IP地址限制等多种验证方式，支持登录密码强度提醒，用户密码强度设置。</w:t>
            </w:r>
          </w:p>
          <w:p w14:paraId="358790A6">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支持根据用户使用习惯自定义配置快捷功能入口，支持首页投放大屏展示，支持最近7天每日的用户活跃数统计，</w:t>
            </w:r>
            <w:r>
              <w:rPr>
                <w:rFonts w:hint="eastAsia" w:ascii="宋体" w:hAnsi="宋体" w:eastAsia="宋体" w:cs="宋体"/>
                <w:kern w:val="0"/>
                <w:sz w:val="24"/>
                <w:szCs w:val="24"/>
                <w:lang w:val="en-US" w:eastAsia="zh-CN" w:bidi="ar"/>
              </w:rPr>
              <w:t>需提供公安部检测报告证明加盖厂家公章；</w:t>
            </w:r>
          </w:p>
          <w:p w14:paraId="657F98A6">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支持以中心管理服务为核心的网络拓扑结构，支持对系统中的分组、服务器、组件等统计概览、查看，</w:t>
            </w:r>
            <w:r>
              <w:rPr>
                <w:rFonts w:hint="eastAsia" w:ascii="宋体" w:hAnsi="宋体" w:eastAsia="宋体" w:cs="宋体"/>
                <w:kern w:val="0"/>
                <w:sz w:val="24"/>
                <w:szCs w:val="24"/>
                <w:lang w:val="en-US" w:eastAsia="zh-CN" w:bidi="ar"/>
              </w:rPr>
              <w:t>需提供公安部检测报告证明加盖厂家公章；</w:t>
            </w:r>
          </w:p>
          <w:p w14:paraId="6E5F1BA0">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支持多色彩（红、橙、黄）展示运行告警状态，支持告警统计、概览、处理，支持告警记录查看、查询，支持告警单条、批量处理；支持系统最近7天每日告警数统计，支持评分量化系统监控指数，显示系统运行状态；</w:t>
            </w:r>
            <w:r>
              <w:rPr>
                <w:rFonts w:hint="eastAsia" w:ascii="宋体" w:hAnsi="宋体" w:eastAsia="宋体" w:cs="宋体"/>
                <w:kern w:val="0"/>
                <w:sz w:val="24"/>
                <w:szCs w:val="24"/>
                <w:lang w:val="en-US" w:eastAsia="zh-CN" w:bidi="ar"/>
              </w:rPr>
              <w:t>（需提供公安部检测报告证明加盖厂家公章）</w:t>
            </w:r>
          </w:p>
          <w:p w14:paraId="7936D1E8">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支持导航视图管理，对系统内各节点进行查看、增加、删除、修改，展示、查找；</w:t>
            </w:r>
            <w:r>
              <w:rPr>
                <w:rFonts w:hint="eastAsia" w:ascii="宋体" w:hAnsi="宋体" w:eastAsia="宋体" w:cs="宋体"/>
                <w:kern w:val="0"/>
                <w:sz w:val="24"/>
                <w:szCs w:val="24"/>
                <w:lang w:val="en-US" w:eastAsia="zh-CN" w:bidi="ar"/>
              </w:rPr>
              <w:t>（需提供公安部检测报告证明加盖厂家公章）</w:t>
            </w:r>
          </w:p>
          <w:p w14:paraId="24B879A4">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支持对系统内所有服务器进行监控，包括名称、IP地址、状态、未处理告警数、CPU使用率、内存使用率、磁盘容量、主机代理版等；</w:t>
            </w:r>
          </w:p>
          <w:p w14:paraId="06C0A1BC">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支持知识库搜索、查询、导入、导出、支持经验分享，</w:t>
            </w:r>
            <w:r>
              <w:rPr>
                <w:rFonts w:hint="eastAsia" w:ascii="宋体" w:hAnsi="宋体" w:eastAsia="宋体" w:cs="宋体"/>
                <w:kern w:val="0"/>
                <w:sz w:val="24"/>
                <w:szCs w:val="24"/>
                <w:lang w:val="en-US" w:eastAsia="zh-CN" w:bidi="ar"/>
              </w:rPr>
              <w:t>需提供公安部检测报告证明；</w:t>
            </w:r>
          </w:p>
          <w:p w14:paraId="62B0C012">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平台安全功能需符合GB35114</w:t>
            </w:r>
            <w:r>
              <w:rPr>
                <w:rFonts w:hint="eastAsia" w:ascii="宋体" w:hAnsi="宋体" w:eastAsia="宋体" w:cs="宋体"/>
                <w:kern w:val="2"/>
                <w:sz w:val="24"/>
                <w:szCs w:val="24"/>
                <w:lang w:val="en-US" w:eastAsia="zh-CN" w:bidi="ar-SA"/>
              </w:rPr>
              <w:noBreakHyphen/>
            </w:r>
            <w:r>
              <w:rPr>
                <w:rFonts w:hint="eastAsia" w:ascii="宋体" w:hAnsi="宋体" w:eastAsia="宋体" w:cs="宋体"/>
                <w:kern w:val="2"/>
                <w:sz w:val="24"/>
                <w:szCs w:val="24"/>
                <w:lang w:val="en-US" w:eastAsia="zh-CN" w:bidi="ar-SA"/>
              </w:rPr>
              <w:t>2017公共安全视频监控联网信息安全技术要求；</w:t>
            </w:r>
          </w:p>
          <w:p w14:paraId="6D7C4C39">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支持BS客户端、CS客户端、移动客户端（Android、iOS）视频预览，支持多浏览器实时预览；</w:t>
            </w:r>
          </w:p>
          <w:p w14:paraId="5B6DE337">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客户端支持在1/2/3/4/6/8/9/10/13/14/16/17/24/25画面分隔模式间进行监控点轮巡预览，轮巡时间可设置，支持全屏显示，预览画面支持监控点信息、语音对讲、开关声音、云台与镜头控制、抓图、多图抓拍等；支持定时录像、报警录像和移动侦测录像等录像模式，不同类型录像以不同颜色进行区分；支持按时间、监控点、录像存储方式检索录像；客户端回放支持1/4/6/7/9/16画面分隔模式及全屏显示；支持单帧回放、播放速度控制（1/16、1/8、1/4、1/2、1、2、4、8、16倍速）、同步回放、异步回放；录像回放支持拖动进度条或指定时间点来进行录像定位；支持分段回放，以分段缩略图展示录像片段；支持大屏控制，可对大屏进行1/4/9/16/25分屏、拼接、开窗、窗口漫游的操作，通过客户端支持电视墙开窗后支持分割，并可将大屏分屏配置另保存为场景，支持在iPad上操作监控点上墙、拼接、分屏、漫游、预案切换等操作；支持对监控点、编码设备的在线状态进行设备巡检，并以统计图方式展示巡检结果；支持对监控的图像进行视频质量诊断，图像异常项包括图像偏色、噪声干扰、图像过暗、图像过亮、视频丢帧、视频抖动、对比度异常、条纹干扰、视频遮挡、信号丢失、图像黑白、图像模糊、场景变换、视频剧变。支持对历史录像的完整率进行监控，统计项包括录像完整数、录像丢失数、巡检失败数、未检测数、监控点总数；支持以统计图展现指定区域的录像完整情况。</w:t>
            </w:r>
          </w:p>
          <w:p w14:paraId="4E65C6C7">
            <w:pPr>
              <w:widowControl/>
              <w:jc w:val="left"/>
              <w:rPr>
                <w:rFonts w:ascii="宋体" w:hAnsi="宋体" w:eastAsia="宋体" w:cs="宋体"/>
                <w:sz w:val="32"/>
                <w:szCs w:val="32"/>
              </w:rPr>
            </w:pPr>
            <w:r>
              <w:rPr>
                <w:rFonts w:hint="eastAsia" w:ascii="宋体" w:hAnsi="宋体" w:eastAsia="宋体" w:cs="宋体"/>
                <w:kern w:val="2"/>
                <w:sz w:val="24"/>
                <w:szCs w:val="24"/>
                <w:lang w:val="en-US" w:eastAsia="zh-CN" w:bidi="ar-SA"/>
              </w:rPr>
              <w:t>支持报表展示视频质量统计、录像完整率统计、区域运维考核结果统计。支持巡检计划配置，包括计划名称、巡检类型、采集对象、巡检时间、巡检频率，并以列表形式展现计划列表。支持门禁设备接入、管理和控制，支持门和人员通道门禁点管理，支持门禁权限配置和下发；支持卡（含身份证）、人脸、指纹、卡密码等凭证单独或组合使用的认证方式；支持门禁权限自动下发更新数据到设备，可配置固定时间、固定次数自动下发异动的门禁权限，包含卡、人脸、指纹；支持人员通行记录区分：内部人员、外部人员、陌生人员。</w:t>
            </w:r>
          </w:p>
        </w:tc>
      </w:tr>
      <w:tr w14:paraId="4387962C">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ascii="宋体" w:hAnsi="宋体" w:eastAsia="宋体" w:cs="宋体"/>
                <w:sz w:val="32"/>
                <w:szCs w:val="32"/>
              </w:rPr>
            </w:pPr>
          </w:p>
        </w:tc>
        <w:tc>
          <w:tcPr>
            <w:tcW w:w="1134" w:type="dxa"/>
            <w:tcBorders>
              <w:top w:val="single" w:color="auto" w:sz="4" w:space="0"/>
              <w:left w:val="nil"/>
              <w:bottom w:val="single" w:color="auto" w:sz="4" w:space="0"/>
              <w:right w:val="single" w:color="auto" w:sz="4" w:space="0"/>
            </w:tcBorders>
            <w:vAlign w:val="center"/>
          </w:tcPr>
          <w:p w14:paraId="22BECC8A">
            <w:pPr>
              <w:widowControl/>
              <w:jc w:val="center"/>
              <w:rPr>
                <w:rFonts w:ascii="宋体" w:hAnsi="宋体" w:eastAsia="宋体" w:cs="宋体"/>
                <w:sz w:val="32"/>
                <w:szCs w:val="32"/>
              </w:rPr>
            </w:pPr>
            <w:r>
              <w:rPr>
                <w:rFonts w:hint="eastAsia" w:ascii="宋体" w:hAnsi="宋体" w:eastAsia="宋体" w:cs="宋体"/>
                <w:sz w:val="32"/>
                <w:szCs w:val="32"/>
              </w:rPr>
              <w:t>2</w:t>
            </w:r>
          </w:p>
        </w:tc>
        <w:tc>
          <w:tcPr>
            <w:tcW w:w="7121" w:type="dxa"/>
            <w:tcBorders>
              <w:top w:val="single" w:color="auto" w:sz="4" w:space="0"/>
              <w:left w:val="nil"/>
              <w:bottom w:val="single" w:color="auto" w:sz="4" w:space="0"/>
              <w:right w:val="single" w:color="auto" w:sz="4" w:space="0"/>
            </w:tcBorders>
            <w:vAlign w:val="center"/>
          </w:tcPr>
          <w:p w14:paraId="0B6F8C53">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流媒体服务器1台：</w:t>
            </w:r>
            <w:r>
              <w:rPr>
                <w:rFonts w:hint="eastAsia" w:ascii="宋体" w:hAnsi="宋体" w:eastAsia="宋体" w:cs="宋体"/>
                <w:kern w:val="2"/>
                <w:sz w:val="24"/>
                <w:szCs w:val="24"/>
                <w:lang w:val="en-US" w:eastAsia="zh-CN" w:bidi="ar-SA"/>
              </w:rPr>
              <w:t>CPU：配置2颗C86架构处理器，单处理器物理核心数≥8核，主频≥3.0GHz，末级缓存容量≥16MB，线程数≥16线程，支持内存的最高速率≥3200MHz，通道数≥2，位宽≥64；内存：配置64GDDR4，8根内存插槽，最大可支持扩展至1TB；硬盘：配置2块600G10KSASHDD硬盘，前置最大可选支持12块3.5寸热插拔SATA/SAS硬盘，后置最大可选支持2块2.5寸热插拔SATA/SAS硬盘，内置最大可选支持2块2.5寸非热插拔SATA SSD硬盘，板载最大可选支持1个SATA M.2硬盘</w:t>
            </w:r>
          </w:p>
          <w:p w14:paraId="371DE6F2">
            <w:pPr>
              <w:jc w:val="center"/>
              <w:rPr>
                <w:rFonts w:ascii="宋体" w:hAnsi="宋体" w:eastAsia="宋体" w:cs="宋体"/>
                <w:sz w:val="32"/>
                <w:szCs w:val="32"/>
              </w:rPr>
            </w:pPr>
            <w:r>
              <w:rPr>
                <w:rFonts w:hint="eastAsia" w:ascii="宋体" w:hAnsi="宋体" w:eastAsia="宋体" w:cs="宋体"/>
                <w:kern w:val="2"/>
                <w:sz w:val="24"/>
                <w:szCs w:val="24"/>
                <w:lang w:val="en-US" w:eastAsia="zh-CN" w:bidi="ar-SA"/>
              </w:rPr>
              <w:t>阵列卡：配置SAS_HBA卡（支持RAID 0/1/10）PCIE扩展：最大支持4个标准PCIE插槽；网口：标配板载2个千兆电口和2个PCIE千兆电口，支持选配10GbE/25GbE SFP+等多种网络接口，其他接口：标配1个IPMI RJ-45管理接口，位于机箱后部；7个USB 3.0接口4个位于机箱后部，2个位于机箱前部，1个位于机箱内部；2个VGA接口1个位于机箱前部，1个位于机箱后部；</w:t>
            </w:r>
          </w:p>
        </w:tc>
      </w:tr>
      <w:tr w14:paraId="013FD3B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70DEE2">
            <w:pPr>
              <w:widowControl/>
              <w:jc w:val="center"/>
              <w:rPr>
                <w:rFonts w:ascii="宋体" w:hAnsi="宋体" w:eastAsia="宋体" w:cs="宋体"/>
                <w:sz w:val="32"/>
                <w:szCs w:val="32"/>
              </w:rPr>
            </w:pPr>
          </w:p>
        </w:tc>
        <w:tc>
          <w:tcPr>
            <w:tcW w:w="1134" w:type="dxa"/>
            <w:tcBorders>
              <w:top w:val="single" w:color="auto" w:sz="4" w:space="0"/>
              <w:left w:val="nil"/>
              <w:bottom w:val="single" w:color="auto" w:sz="4" w:space="0"/>
              <w:right w:val="single" w:color="auto" w:sz="4" w:space="0"/>
            </w:tcBorders>
            <w:vAlign w:val="center"/>
          </w:tcPr>
          <w:p w14:paraId="402381C2">
            <w:pPr>
              <w:widowControl/>
              <w:jc w:val="center"/>
              <w:rPr>
                <w:rFonts w:ascii="宋体" w:hAnsi="宋体" w:eastAsia="宋体" w:cs="宋体"/>
                <w:sz w:val="32"/>
                <w:szCs w:val="32"/>
              </w:rPr>
            </w:pPr>
            <w:r>
              <w:rPr>
                <w:rFonts w:hint="eastAsia" w:ascii="宋体" w:hAnsi="宋体" w:eastAsia="宋体" w:cs="宋体"/>
                <w:sz w:val="32"/>
                <w:szCs w:val="32"/>
              </w:rPr>
              <w:t>3</w:t>
            </w:r>
          </w:p>
        </w:tc>
        <w:tc>
          <w:tcPr>
            <w:tcW w:w="7121" w:type="dxa"/>
            <w:tcBorders>
              <w:top w:val="single" w:color="auto" w:sz="4" w:space="0"/>
              <w:left w:val="nil"/>
              <w:bottom w:val="single" w:color="auto" w:sz="4" w:space="0"/>
              <w:right w:val="single" w:color="auto" w:sz="4" w:space="0"/>
            </w:tcBorders>
            <w:vAlign w:val="center"/>
          </w:tcPr>
          <w:p w14:paraId="102156A2">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监控设备搬迁调试：</w:t>
            </w:r>
            <w:r>
              <w:rPr>
                <w:rFonts w:hint="eastAsia" w:ascii="宋体" w:hAnsi="宋体" w:eastAsia="宋体" w:cs="宋体"/>
                <w:kern w:val="2"/>
                <w:sz w:val="24"/>
                <w:szCs w:val="24"/>
                <w:lang w:val="en-US" w:eastAsia="zh-CN" w:bidi="ar-SA"/>
              </w:rPr>
              <w:t>实施住院楼监控服务器、存储、</w:t>
            </w:r>
            <w:r>
              <w:rPr>
                <w:rFonts w:ascii="宋体" w:hAnsi="宋体" w:eastAsia="宋体" w:cs="宋体"/>
                <w:sz w:val="24"/>
                <w:szCs w:val="24"/>
              </w:rPr>
              <w:t>配套UPS备用电源</w:t>
            </w:r>
            <w:r>
              <w:rPr>
                <w:rFonts w:hint="eastAsia" w:ascii="宋体" w:hAnsi="宋体" w:eastAsia="宋体" w:cs="宋体"/>
                <w:kern w:val="2"/>
                <w:sz w:val="24"/>
                <w:szCs w:val="24"/>
                <w:lang w:val="en-US" w:eastAsia="zh-CN" w:bidi="ar-SA"/>
              </w:rPr>
              <w:t>等安防设备搬迁至综合楼6层机房；完成教学楼监控系统接入综合楼6楼机房，实现综合楼、教学楼安防监控系统融合对接、统一平台管理。工作内容包含：现有全部安防设备清点登记、现场线路诊断排查、安防网络拓扑规划、光缆敷设及熔接、设备搬迁、安装、接线、系统调试、平台配置、点位联调、故障整改、试运行、竣工资料编制及验收交付等全部相关工作。</w:t>
            </w:r>
          </w:p>
          <w:p w14:paraId="61539471">
            <w:pPr>
              <w:jc w:val="left"/>
              <w:rPr>
                <w:rFonts w:ascii="宋体" w:hAnsi="宋体" w:eastAsia="宋体" w:cs="宋体"/>
                <w:sz w:val="32"/>
                <w:szCs w:val="32"/>
              </w:rPr>
            </w:pPr>
            <w:r>
              <w:rPr>
                <w:rFonts w:hint="eastAsia" w:ascii="宋体" w:hAnsi="宋体" w:eastAsia="宋体" w:cs="宋体"/>
                <w:kern w:val="2"/>
                <w:sz w:val="24"/>
                <w:szCs w:val="24"/>
                <w:lang w:val="en-US" w:eastAsia="zh-CN" w:bidi="ar-SA"/>
              </w:rPr>
              <w:t>搬迁过程中，因中标人拆装、搬运操作不当造成原有设备损坏，由中标人负责维修或更换；老旧设备本身自然老化故障由采购人确认处置。中标人负责核对搬迁后录像存储时长，保障不低于搬迁前存储要求。</w:t>
            </w:r>
          </w:p>
        </w:tc>
      </w:tr>
      <w:tr w14:paraId="70FF20AE">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0D663FB">
            <w:pPr>
              <w:widowControl/>
              <w:jc w:val="center"/>
              <w:rPr>
                <w:rFonts w:ascii="宋体" w:hAnsi="宋体" w:eastAsia="宋体" w:cs="宋体"/>
                <w:sz w:val="32"/>
                <w:szCs w:val="32"/>
              </w:rPr>
            </w:pPr>
          </w:p>
        </w:tc>
        <w:tc>
          <w:tcPr>
            <w:tcW w:w="1134" w:type="dxa"/>
            <w:tcBorders>
              <w:top w:val="single" w:color="auto" w:sz="4" w:space="0"/>
              <w:left w:val="nil"/>
              <w:bottom w:val="single" w:color="auto" w:sz="4" w:space="0"/>
              <w:right w:val="single" w:color="auto" w:sz="4" w:space="0"/>
            </w:tcBorders>
            <w:vAlign w:val="center"/>
          </w:tcPr>
          <w:p w14:paraId="4EFBAC76">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w:t>
            </w:r>
          </w:p>
        </w:tc>
        <w:tc>
          <w:tcPr>
            <w:tcW w:w="7121" w:type="dxa"/>
            <w:tcBorders>
              <w:top w:val="single" w:color="auto" w:sz="4" w:space="0"/>
              <w:left w:val="nil"/>
              <w:bottom w:val="single" w:color="auto" w:sz="4" w:space="0"/>
              <w:right w:val="single" w:color="auto" w:sz="4" w:space="0"/>
            </w:tcBorders>
            <w:vAlign w:val="center"/>
          </w:tcPr>
          <w:p w14:paraId="5F3C824C">
            <w:pPr>
              <w:jc w:val="left"/>
              <w:rPr>
                <w:rFonts w:hint="eastAsia" w:ascii="宋体" w:hAnsi="宋体" w:eastAsia="宋体" w:cs="宋体"/>
                <w:kern w:val="2"/>
                <w:sz w:val="24"/>
                <w:szCs w:val="24"/>
                <w:lang w:val="en-US" w:eastAsia="zh-CN" w:bidi="ar-SA"/>
              </w:rPr>
            </w:pPr>
            <w:r>
              <w:rPr>
                <w:rFonts w:ascii="宋体" w:hAnsi="宋体" w:eastAsia="宋体" w:cs="宋体"/>
                <w:sz w:val="24"/>
                <w:szCs w:val="24"/>
              </w:rPr>
              <w:t>本项为包干总价，包含线缆布放、固定、标识、端接、桥架、线管、辅材、施工、测试、路由调整、废弃线缆清运出场全部工作。</w:t>
            </w:r>
          </w:p>
        </w:tc>
      </w:tr>
    </w:tbl>
    <w:p w14:paraId="33CA4D0A">
      <w:pPr>
        <w:keepNext w:val="0"/>
        <w:keepLines w:val="0"/>
        <w:widowControl/>
        <w:suppressLineNumbers w:val="0"/>
        <w:jc w:val="left"/>
        <w:rPr>
          <w:rFonts w:ascii="宋体" w:hAnsi="宋体" w:eastAsia="宋体"/>
          <w:sz w:val="32"/>
          <w:szCs w:val="32"/>
        </w:rPr>
      </w:pPr>
      <w:r>
        <w:rPr>
          <w:rFonts w:hint="eastAsia" w:ascii="仿宋_GB2312" w:hAnsi="仿宋_GB2312" w:eastAsia="仿宋_GB2312" w:cs="仿宋_GB2312"/>
          <w:sz w:val="32"/>
          <w:szCs w:val="32"/>
          <w:lang w:val="en-US" w:eastAsia="zh-CN"/>
        </w:rPr>
        <w:t>包2</w:t>
      </w:r>
    </w:p>
    <w:tbl>
      <w:tblPr>
        <w:tblStyle w:val="15"/>
        <w:tblW w:w="9810" w:type="dxa"/>
        <w:jc w:val="center"/>
        <w:tblLayout w:type="fixed"/>
        <w:tblCellMar>
          <w:top w:w="0" w:type="dxa"/>
          <w:left w:w="108" w:type="dxa"/>
          <w:bottom w:w="0" w:type="dxa"/>
          <w:right w:w="108" w:type="dxa"/>
        </w:tblCellMar>
      </w:tblPr>
      <w:tblGrid>
        <w:gridCol w:w="1555"/>
        <w:gridCol w:w="1134"/>
        <w:gridCol w:w="7121"/>
      </w:tblGrid>
      <w:tr w14:paraId="029E1934">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9D8BC98">
            <w:pPr>
              <w:widowControl/>
              <w:jc w:val="center"/>
              <w:rPr>
                <w:rFonts w:ascii="宋体" w:hAnsi="宋体" w:eastAsia="宋体" w:cs="宋体"/>
                <w:sz w:val="32"/>
                <w:szCs w:val="32"/>
              </w:rPr>
            </w:pPr>
            <w:r>
              <w:rPr>
                <w:rFonts w:hint="eastAsia" w:ascii="宋体" w:hAnsi="宋体" w:eastAsia="宋体" w:cs="宋体"/>
                <w:sz w:val="32"/>
                <w:szCs w:val="32"/>
              </w:rPr>
              <w:t>参数性质</w:t>
            </w:r>
          </w:p>
        </w:tc>
        <w:tc>
          <w:tcPr>
            <w:tcW w:w="1134" w:type="dxa"/>
            <w:tcBorders>
              <w:top w:val="single" w:color="auto" w:sz="4" w:space="0"/>
              <w:left w:val="nil"/>
              <w:bottom w:val="single" w:color="auto" w:sz="4" w:space="0"/>
              <w:right w:val="single" w:color="auto" w:sz="4" w:space="0"/>
            </w:tcBorders>
            <w:vAlign w:val="center"/>
          </w:tcPr>
          <w:p w14:paraId="08E7D32A">
            <w:pPr>
              <w:widowControl/>
              <w:jc w:val="center"/>
              <w:rPr>
                <w:rFonts w:ascii="宋体" w:hAnsi="宋体" w:eastAsia="宋体" w:cs="宋体"/>
                <w:sz w:val="32"/>
                <w:szCs w:val="32"/>
              </w:rPr>
            </w:pPr>
            <w:r>
              <w:rPr>
                <w:rFonts w:hint="eastAsia" w:ascii="宋体" w:hAnsi="宋体" w:eastAsia="宋体" w:cs="宋体"/>
                <w:sz w:val="32"/>
                <w:szCs w:val="32"/>
              </w:rPr>
              <w:t>编号</w:t>
            </w:r>
          </w:p>
        </w:tc>
        <w:tc>
          <w:tcPr>
            <w:tcW w:w="7121" w:type="dxa"/>
            <w:tcBorders>
              <w:top w:val="single" w:color="auto" w:sz="4" w:space="0"/>
              <w:left w:val="nil"/>
              <w:bottom w:val="single" w:color="auto" w:sz="4" w:space="0"/>
              <w:right w:val="single" w:color="auto" w:sz="4" w:space="0"/>
            </w:tcBorders>
            <w:vAlign w:val="center"/>
          </w:tcPr>
          <w:p w14:paraId="403AFE5D">
            <w:pPr>
              <w:widowControl/>
              <w:jc w:val="center"/>
              <w:rPr>
                <w:rFonts w:ascii="宋体" w:hAnsi="宋体" w:eastAsia="宋体" w:cs="宋体"/>
                <w:sz w:val="32"/>
                <w:szCs w:val="32"/>
              </w:rPr>
            </w:pPr>
            <w:r>
              <w:rPr>
                <w:rFonts w:hint="eastAsia" w:ascii="宋体" w:hAnsi="宋体" w:eastAsia="宋体" w:cs="宋体"/>
                <w:sz w:val="32"/>
                <w:szCs w:val="32"/>
              </w:rPr>
              <w:t>技术参数和要求</w:t>
            </w:r>
          </w:p>
        </w:tc>
      </w:tr>
      <w:tr w14:paraId="3FD4DA26">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D66C12A">
            <w:pPr>
              <w:widowControl/>
              <w:jc w:val="center"/>
              <w:rPr>
                <w:rFonts w:ascii="宋体" w:hAnsi="宋体" w:eastAsia="宋体" w:cs="宋体"/>
                <w:sz w:val="32"/>
                <w:szCs w:val="32"/>
              </w:rPr>
            </w:pPr>
            <w:r>
              <w:rPr>
                <w:rFonts w:hint="eastAsia" w:ascii="宋体" w:hAnsi="宋体" w:eastAsia="宋体"/>
                <w:color w:val="000000"/>
                <w:sz w:val="24"/>
                <w:lang w:val="en-US" w:eastAsia="zh-CN"/>
              </w:rPr>
              <w:t>★</w:t>
            </w:r>
          </w:p>
        </w:tc>
        <w:tc>
          <w:tcPr>
            <w:tcW w:w="1134" w:type="dxa"/>
            <w:tcBorders>
              <w:top w:val="single" w:color="auto" w:sz="4" w:space="0"/>
              <w:left w:val="nil"/>
              <w:bottom w:val="single" w:color="auto" w:sz="4" w:space="0"/>
              <w:right w:val="single" w:color="auto" w:sz="4" w:space="0"/>
            </w:tcBorders>
            <w:vAlign w:val="center"/>
          </w:tcPr>
          <w:p w14:paraId="7C6C7BC6">
            <w:pPr>
              <w:widowControl/>
              <w:jc w:val="center"/>
              <w:rPr>
                <w:rFonts w:ascii="宋体" w:hAnsi="宋体" w:eastAsia="宋体" w:cs="宋体"/>
                <w:sz w:val="32"/>
                <w:szCs w:val="32"/>
              </w:rPr>
            </w:pPr>
            <w:r>
              <w:rPr>
                <w:rFonts w:hint="eastAsia" w:ascii="宋体" w:hAnsi="宋体" w:eastAsia="宋体" w:cs="宋体"/>
                <w:sz w:val="32"/>
                <w:szCs w:val="32"/>
              </w:rPr>
              <w:t>1</w:t>
            </w:r>
          </w:p>
        </w:tc>
        <w:tc>
          <w:tcPr>
            <w:tcW w:w="7121" w:type="dxa"/>
            <w:tcBorders>
              <w:top w:val="single" w:color="auto" w:sz="4" w:space="0"/>
              <w:left w:val="nil"/>
              <w:bottom w:val="single" w:color="auto" w:sz="4" w:space="0"/>
              <w:right w:val="single" w:color="auto" w:sz="4" w:space="0"/>
            </w:tcBorders>
            <w:vAlign w:val="center"/>
          </w:tcPr>
          <w:p w14:paraId="4F14F594">
            <w:pPr>
              <w:widowControl/>
              <w:jc w:val="left"/>
              <w:rPr>
                <w:rFonts w:ascii="宋体" w:hAnsi="宋体" w:eastAsia="宋体" w:cs="宋体"/>
                <w:sz w:val="32"/>
                <w:szCs w:val="32"/>
              </w:rPr>
            </w:pPr>
            <w:r>
              <w:rPr>
                <w:rFonts w:ascii="宋体" w:hAnsi="宋体" w:eastAsia="宋体" w:cs="宋体"/>
                <w:sz w:val="24"/>
                <w:szCs w:val="24"/>
              </w:rPr>
              <w:t>电缆及敷设：教学楼至住院楼之间敷设NH</w:t>
            </w:r>
            <w:r>
              <w:rPr>
                <w:rFonts w:ascii="宋体" w:hAnsi="宋体" w:eastAsia="宋体" w:cs="宋体"/>
                <w:sz w:val="24"/>
                <w:szCs w:val="24"/>
              </w:rPr>
              <w:noBreakHyphen/>
            </w:r>
            <w:r>
              <w:rPr>
                <w:rFonts w:ascii="宋体" w:hAnsi="宋体" w:eastAsia="宋体" w:cs="宋体"/>
                <w:sz w:val="24"/>
                <w:szCs w:val="24"/>
              </w:rPr>
              <w:t>KVVP2</w:t>
            </w:r>
            <w:r>
              <w:rPr>
                <w:rFonts w:ascii="宋体" w:hAnsi="宋体" w:eastAsia="宋体" w:cs="宋体"/>
                <w:sz w:val="24"/>
                <w:szCs w:val="24"/>
              </w:rPr>
              <w:noBreakHyphen/>
            </w:r>
            <w:r>
              <w:rPr>
                <w:rFonts w:ascii="宋体" w:hAnsi="宋体" w:eastAsia="宋体" w:cs="宋体"/>
                <w:sz w:val="24"/>
                <w:szCs w:val="24"/>
              </w:rPr>
              <w:t>18×2.5铜芯聚氯乙烯绝缘聚氯乙烯护套铜带绕包屏蔽耐火控制电缆，耐火等级NH</w:t>
            </w:r>
            <w:r>
              <w:rPr>
                <w:rFonts w:ascii="宋体" w:hAnsi="宋体" w:eastAsia="宋体" w:cs="宋体"/>
                <w:sz w:val="24"/>
                <w:szCs w:val="24"/>
              </w:rPr>
              <w:noBreakHyphen/>
            </w:r>
            <w:r>
              <w:rPr>
                <w:rFonts w:ascii="宋体" w:hAnsi="宋体" w:eastAsia="宋体" w:cs="宋体"/>
                <w:sz w:val="24"/>
                <w:szCs w:val="24"/>
              </w:rPr>
              <w:t>A级，额定电压450/750V，导体长期允许工作温度70℃，执行标准：GB/T9330</w:t>
            </w:r>
            <w:r>
              <w:rPr>
                <w:rFonts w:ascii="宋体" w:hAnsi="宋体" w:eastAsia="宋体" w:cs="宋体"/>
                <w:sz w:val="24"/>
                <w:szCs w:val="24"/>
              </w:rPr>
              <w:noBreakHyphen/>
            </w:r>
            <w:r>
              <w:rPr>
                <w:rFonts w:ascii="宋体" w:hAnsi="宋体" w:eastAsia="宋体" w:cs="宋体"/>
                <w:sz w:val="24"/>
                <w:szCs w:val="24"/>
              </w:rPr>
              <w:t>2020《塑料绝缘控制电缆》、GB/T 19666</w:t>
            </w:r>
            <w:r>
              <w:rPr>
                <w:rFonts w:ascii="宋体" w:hAnsi="宋体" w:eastAsia="宋体" w:cs="宋体"/>
                <w:sz w:val="24"/>
                <w:szCs w:val="24"/>
              </w:rPr>
              <w:noBreakHyphen/>
            </w:r>
            <w:r>
              <w:rPr>
                <w:rFonts w:ascii="宋体" w:hAnsi="宋体" w:eastAsia="宋体" w:cs="宋体"/>
                <w:sz w:val="24"/>
                <w:szCs w:val="24"/>
              </w:rPr>
              <w:t>2019《阻燃和耐火电线电缆通则》；敷设总长度</w:t>
            </w:r>
            <w:r>
              <w:rPr>
                <w:rFonts w:hint="eastAsia" w:ascii="宋体" w:hAnsi="宋体" w:eastAsia="宋体" w:cs="宋体"/>
                <w:sz w:val="24"/>
                <w:szCs w:val="24"/>
              </w:rPr>
              <w:t>≥</w:t>
            </w:r>
            <w:r>
              <w:rPr>
                <w:rFonts w:ascii="宋体" w:hAnsi="宋体" w:eastAsia="宋体" w:cs="宋体"/>
                <w:sz w:val="24"/>
                <w:szCs w:val="24"/>
              </w:rPr>
              <w:t>1200m。综合楼至住院楼之间敷设NH</w:t>
            </w:r>
            <w:r>
              <w:rPr>
                <w:rFonts w:ascii="宋体" w:hAnsi="宋体" w:eastAsia="宋体" w:cs="宋体"/>
                <w:sz w:val="24"/>
                <w:szCs w:val="24"/>
              </w:rPr>
              <w:noBreakHyphen/>
            </w:r>
            <w:r>
              <w:rPr>
                <w:rFonts w:ascii="宋体" w:hAnsi="宋体" w:eastAsia="宋体" w:cs="宋体"/>
                <w:sz w:val="24"/>
                <w:szCs w:val="24"/>
              </w:rPr>
              <w:t>KVVP2</w:t>
            </w:r>
            <w:r>
              <w:rPr>
                <w:rFonts w:ascii="宋体" w:hAnsi="宋体" w:eastAsia="宋体" w:cs="宋体"/>
                <w:sz w:val="24"/>
                <w:szCs w:val="24"/>
              </w:rPr>
              <w:noBreakHyphen/>
            </w:r>
            <w:r>
              <w:rPr>
                <w:rFonts w:ascii="宋体" w:hAnsi="宋体" w:eastAsia="宋体" w:cs="宋体"/>
                <w:sz w:val="24"/>
                <w:szCs w:val="24"/>
              </w:rPr>
              <w:t>24×2.5铜芯聚氯乙烯绝缘聚氯乙烯护套铜带绕包屏蔽耐火控制电缆，耐火等级NH</w:t>
            </w:r>
            <w:r>
              <w:rPr>
                <w:rFonts w:ascii="宋体" w:hAnsi="宋体" w:eastAsia="宋体" w:cs="宋体"/>
                <w:sz w:val="24"/>
                <w:szCs w:val="24"/>
              </w:rPr>
              <w:noBreakHyphen/>
            </w:r>
            <w:r>
              <w:rPr>
                <w:rFonts w:ascii="宋体" w:hAnsi="宋体" w:eastAsia="宋体" w:cs="宋体"/>
                <w:sz w:val="24"/>
                <w:szCs w:val="24"/>
              </w:rPr>
              <w:t>A级，额定电压450/750V，导体长期允许工作温度70℃，执行标准：GB/T9330</w:t>
            </w:r>
            <w:r>
              <w:rPr>
                <w:rFonts w:ascii="宋体" w:hAnsi="宋体" w:eastAsia="宋体" w:cs="宋体"/>
                <w:sz w:val="24"/>
                <w:szCs w:val="24"/>
              </w:rPr>
              <w:noBreakHyphen/>
            </w:r>
            <w:r>
              <w:rPr>
                <w:rFonts w:ascii="宋体" w:hAnsi="宋体" w:eastAsia="宋体" w:cs="宋体"/>
                <w:sz w:val="24"/>
                <w:szCs w:val="24"/>
              </w:rPr>
              <w:t>2020《塑料绝缘控制电缆》、GB/T19666</w:t>
            </w:r>
            <w:r>
              <w:rPr>
                <w:rFonts w:ascii="宋体" w:hAnsi="宋体" w:eastAsia="宋体" w:cs="宋体"/>
                <w:sz w:val="24"/>
                <w:szCs w:val="24"/>
              </w:rPr>
              <w:noBreakHyphen/>
            </w:r>
            <w:r>
              <w:rPr>
                <w:rFonts w:ascii="宋体" w:hAnsi="宋体" w:eastAsia="宋体" w:cs="宋体"/>
                <w:sz w:val="24"/>
                <w:szCs w:val="24"/>
              </w:rPr>
              <w:t>2019《阻燃和耐火电线电缆通则》；敷设总长度</w:t>
            </w:r>
            <w:r>
              <w:rPr>
                <w:rFonts w:hint="eastAsia" w:ascii="宋体" w:hAnsi="宋体" w:eastAsia="宋体" w:cs="宋体"/>
                <w:sz w:val="24"/>
                <w:szCs w:val="24"/>
              </w:rPr>
              <w:t>≥</w:t>
            </w:r>
            <w:r>
              <w:rPr>
                <w:rFonts w:ascii="宋体" w:hAnsi="宋体" w:eastAsia="宋体" w:cs="宋体"/>
                <w:sz w:val="24"/>
                <w:szCs w:val="24"/>
              </w:rPr>
              <w:t>800m。电缆档次等同于或优于津达品牌，满足国标要求。到货验收要求：中标人供货电缆须为全新原厂正品，线缆外皮标识清晰，连续印有型号、电压等级、品牌、执行标准、米标；随货附带产品合格证、CCC证书、型式检验报告、产品溯源信息，证书参数应与本项目NH</w:t>
            </w:r>
            <w:r>
              <w:rPr>
                <w:rFonts w:ascii="宋体" w:hAnsi="宋体" w:eastAsia="宋体" w:cs="宋体"/>
                <w:sz w:val="24"/>
                <w:szCs w:val="24"/>
              </w:rPr>
              <w:noBreakHyphen/>
            </w:r>
            <w:r>
              <w:rPr>
                <w:rFonts w:ascii="宋体" w:hAnsi="宋体" w:eastAsia="宋体" w:cs="宋体"/>
                <w:sz w:val="24"/>
                <w:szCs w:val="24"/>
              </w:rPr>
              <w:t>A级耐火、NH</w:t>
            </w:r>
            <w:r>
              <w:rPr>
                <w:rFonts w:ascii="宋体" w:hAnsi="宋体" w:eastAsia="宋体" w:cs="宋体"/>
                <w:sz w:val="24"/>
                <w:szCs w:val="24"/>
              </w:rPr>
              <w:noBreakHyphen/>
            </w:r>
            <w:r>
              <w:rPr>
                <w:rFonts w:ascii="宋体" w:hAnsi="宋体" w:eastAsia="宋体" w:cs="宋体"/>
                <w:sz w:val="24"/>
                <w:szCs w:val="24"/>
              </w:rPr>
              <w:t>KVVP2</w:t>
            </w:r>
            <w:r>
              <w:rPr>
                <w:rFonts w:ascii="宋体" w:hAnsi="宋体" w:eastAsia="宋体" w:cs="宋体"/>
                <w:sz w:val="24"/>
                <w:szCs w:val="24"/>
              </w:rPr>
              <w:noBreakHyphen/>
            </w:r>
            <w:r>
              <w:rPr>
                <w:rFonts w:ascii="宋体" w:hAnsi="宋体" w:eastAsia="宋体" w:cs="宋体"/>
                <w:sz w:val="24"/>
                <w:szCs w:val="24"/>
              </w:rPr>
              <w:t>18×2.5、NH</w:t>
            </w:r>
            <w:r>
              <w:rPr>
                <w:rFonts w:ascii="宋体" w:hAnsi="宋体" w:eastAsia="宋体" w:cs="宋体"/>
                <w:sz w:val="24"/>
                <w:szCs w:val="24"/>
              </w:rPr>
              <w:noBreakHyphen/>
            </w:r>
            <w:r>
              <w:rPr>
                <w:rFonts w:ascii="宋体" w:hAnsi="宋体" w:eastAsia="宋体" w:cs="宋体"/>
                <w:sz w:val="24"/>
                <w:szCs w:val="24"/>
              </w:rPr>
              <w:t>KVVP2</w:t>
            </w:r>
            <w:r>
              <w:rPr>
                <w:rFonts w:ascii="宋体" w:hAnsi="宋体" w:eastAsia="宋体" w:cs="宋体"/>
                <w:sz w:val="24"/>
                <w:szCs w:val="24"/>
              </w:rPr>
              <w:noBreakHyphen/>
            </w:r>
            <w:r>
              <w:rPr>
                <w:rFonts w:ascii="宋体" w:hAnsi="宋体" w:eastAsia="宋体" w:cs="宋体"/>
                <w:sz w:val="24"/>
                <w:szCs w:val="24"/>
              </w:rPr>
              <w:t>24×2.5规格保持一致；采购人有权在到货后随机抽样委托具备CMA资质的第三方检测机构进行检测，检测不合格的，中标人须无条件更换全部批次电缆，并承担检测费、工期延误等全部损失，由此造成的一切后果由中标人自行承担。</w:t>
            </w:r>
          </w:p>
        </w:tc>
      </w:tr>
      <w:tr w14:paraId="0E6A9BB0">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DDA76F8">
            <w:pPr>
              <w:widowControl/>
              <w:jc w:val="center"/>
              <w:rPr>
                <w:rFonts w:ascii="宋体" w:hAnsi="宋体" w:eastAsia="宋体" w:cs="宋体"/>
                <w:sz w:val="32"/>
                <w:szCs w:val="32"/>
              </w:rPr>
            </w:pPr>
          </w:p>
        </w:tc>
        <w:tc>
          <w:tcPr>
            <w:tcW w:w="1134" w:type="dxa"/>
            <w:tcBorders>
              <w:top w:val="single" w:color="auto" w:sz="4" w:space="0"/>
              <w:left w:val="nil"/>
              <w:bottom w:val="single" w:color="auto" w:sz="4" w:space="0"/>
              <w:right w:val="single" w:color="auto" w:sz="4" w:space="0"/>
            </w:tcBorders>
            <w:vAlign w:val="center"/>
          </w:tcPr>
          <w:p w14:paraId="4806D955">
            <w:pPr>
              <w:widowControl/>
              <w:jc w:val="center"/>
              <w:rPr>
                <w:rFonts w:ascii="宋体" w:hAnsi="宋体" w:eastAsia="宋体" w:cs="宋体"/>
                <w:sz w:val="32"/>
                <w:szCs w:val="32"/>
              </w:rPr>
            </w:pPr>
            <w:r>
              <w:rPr>
                <w:rFonts w:hint="eastAsia" w:ascii="宋体" w:hAnsi="宋体" w:eastAsia="宋体" w:cs="宋体"/>
                <w:sz w:val="32"/>
                <w:szCs w:val="32"/>
              </w:rPr>
              <w:t>2</w:t>
            </w:r>
          </w:p>
        </w:tc>
        <w:tc>
          <w:tcPr>
            <w:tcW w:w="7121" w:type="dxa"/>
            <w:tcBorders>
              <w:top w:val="single" w:color="auto" w:sz="4" w:space="0"/>
              <w:left w:val="nil"/>
              <w:bottom w:val="single" w:color="auto" w:sz="4" w:space="0"/>
              <w:right w:val="single" w:color="auto" w:sz="4" w:space="0"/>
            </w:tcBorders>
            <w:vAlign w:val="center"/>
          </w:tcPr>
          <w:p w14:paraId="42D8D22A">
            <w:pPr>
              <w:keepNext w:val="0"/>
              <w:keepLines w:val="0"/>
              <w:widowControl/>
              <w:suppressLineNumbers w:val="0"/>
              <w:jc w:val="left"/>
              <w:rPr>
                <w:rFonts w:ascii="宋体" w:hAnsi="宋体" w:eastAsia="宋体" w:cs="宋体"/>
                <w:sz w:val="32"/>
                <w:szCs w:val="32"/>
              </w:rPr>
            </w:pPr>
            <w:r>
              <w:rPr>
                <w:rFonts w:ascii="宋体" w:hAnsi="宋体" w:eastAsia="宋体" w:cs="宋体"/>
                <w:sz w:val="24"/>
                <w:szCs w:val="24"/>
              </w:rPr>
              <w:t>主机移位：将教学楼和综合楼现有机房内火灾报警控制器（消防主机）、消防联动控制器、消防电话总机、应急广播主机、配套 UPS 备用电源、图形显示装置等成套消防控制设备迁移至采购人指定新机房。包含新旧机房之间信号回路、联动控制线、消防广播线、消防电话线、供电线缆敷设，配套桥架、线管、端子箱安装及线路标识；原机房设备安全拆除、设备保护性转运、新机房设备固定安装、接线、主机程序备份与恢复、点位核对、回路测试、单点报警测试、全系统联动逻辑调试、主机接地及等电位接地施工、连续试运行、竣工资料编制、现场培训、竣工验收及质保服务。施工期间须制定消防临时保障方案，采取分段割接、临时值守措施，最大限度缩短系统离线时间，保障现场消防安全；</w:t>
            </w:r>
          </w:p>
        </w:tc>
      </w:tr>
      <w:tr w14:paraId="7E32855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8801472">
            <w:pPr>
              <w:widowControl/>
              <w:jc w:val="center"/>
              <w:rPr>
                <w:rFonts w:ascii="宋体" w:hAnsi="宋体" w:eastAsia="宋体" w:cs="宋体"/>
                <w:sz w:val="32"/>
                <w:szCs w:val="32"/>
              </w:rPr>
            </w:pPr>
          </w:p>
        </w:tc>
        <w:tc>
          <w:tcPr>
            <w:tcW w:w="1134" w:type="dxa"/>
            <w:tcBorders>
              <w:top w:val="single" w:color="auto" w:sz="4" w:space="0"/>
              <w:left w:val="nil"/>
              <w:bottom w:val="single" w:color="auto" w:sz="4" w:space="0"/>
              <w:right w:val="single" w:color="auto" w:sz="4" w:space="0"/>
            </w:tcBorders>
            <w:vAlign w:val="center"/>
          </w:tcPr>
          <w:p w14:paraId="2F426DB8">
            <w:pPr>
              <w:widowControl/>
              <w:jc w:val="center"/>
              <w:rPr>
                <w:rFonts w:ascii="宋体" w:hAnsi="宋体" w:eastAsia="宋体" w:cs="宋体"/>
                <w:sz w:val="32"/>
                <w:szCs w:val="32"/>
              </w:rPr>
            </w:pPr>
            <w:r>
              <w:rPr>
                <w:rFonts w:hint="eastAsia" w:ascii="宋体" w:hAnsi="宋体" w:eastAsia="宋体" w:cs="宋体"/>
                <w:sz w:val="32"/>
                <w:szCs w:val="32"/>
              </w:rPr>
              <w:t>3</w:t>
            </w:r>
          </w:p>
        </w:tc>
        <w:tc>
          <w:tcPr>
            <w:tcW w:w="7121" w:type="dxa"/>
            <w:tcBorders>
              <w:top w:val="single" w:color="auto" w:sz="4" w:space="0"/>
              <w:left w:val="nil"/>
              <w:bottom w:val="single" w:color="auto" w:sz="4" w:space="0"/>
              <w:right w:val="single" w:color="auto" w:sz="4" w:space="0"/>
            </w:tcBorders>
            <w:vAlign w:val="center"/>
          </w:tcPr>
          <w:p w14:paraId="2983E9C0">
            <w:pPr>
              <w:jc w:val="left"/>
              <w:rPr>
                <w:rFonts w:ascii="宋体" w:hAnsi="宋体" w:eastAsia="宋体" w:cs="宋体"/>
                <w:sz w:val="32"/>
                <w:szCs w:val="32"/>
              </w:rPr>
            </w:pPr>
            <w:r>
              <w:rPr>
                <w:rFonts w:hint="eastAsia" w:ascii="宋体" w:hAnsi="宋体" w:eastAsia="宋体" w:cs="宋体"/>
                <w:sz w:val="24"/>
                <w:szCs w:val="24"/>
                <w:lang w:val="en-US" w:eastAsia="zh-CN"/>
              </w:rPr>
              <w:t>设备及线路整理调试：</w:t>
            </w:r>
            <w:r>
              <w:rPr>
                <w:rFonts w:ascii="宋体" w:hAnsi="宋体" w:eastAsia="宋体" w:cs="宋体"/>
                <w:sz w:val="24"/>
                <w:szCs w:val="24"/>
              </w:rPr>
              <w:t>完成消防机房相关设备搬移、线缆整理、系统调试及功能测试工作。包含设备保护性拆除、搬运就位、线缆梳理规整、线路核查、重新端接、回路测试、单点报警测试、联动逻辑调试、系统整体试运行、故障排查整改、点位复核、标识制作、竣工资料整理及验收交付等全部内容，施工期间落实临时消防安全保障措施，确保施工过程消防安全</w:t>
            </w:r>
            <w:r>
              <w:rPr>
                <w:rFonts w:hint="eastAsia" w:ascii="宋体" w:hAnsi="宋体" w:eastAsia="宋体" w:cs="宋体"/>
                <w:sz w:val="24"/>
                <w:szCs w:val="24"/>
                <w:lang w:eastAsia="zh-CN"/>
              </w:rPr>
              <w:t>；</w:t>
            </w:r>
          </w:p>
        </w:tc>
      </w:tr>
      <w:tr w14:paraId="44AAFE52">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52B06A37">
            <w:pPr>
              <w:widowControl/>
              <w:jc w:val="center"/>
              <w:rPr>
                <w:rFonts w:ascii="宋体" w:hAnsi="宋体" w:eastAsia="宋体" w:cs="宋体"/>
                <w:sz w:val="32"/>
                <w:szCs w:val="32"/>
              </w:rPr>
            </w:pPr>
          </w:p>
        </w:tc>
        <w:tc>
          <w:tcPr>
            <w:tcW w:w="1134" w:type="dxa"/>
            <w:tcBorders>
              <w:top w:val="single" w:color="auto" w:sz="4" w:space="0"/>
              <w:left w:val="nil"/>
              <w:bottom w:val="single" w:color="auto" w:sz="4" w:space="0"/>
              <w:right w:val="single" w:color="auto" w:sz="4" w:space="0"/>
            </w:tcBorders>
            <w:vAlign w:val="center"/>
          </w:tcPr>
          <w:p w14:paraId="6409ADD3">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w:t>
            </w:r>
          </w:p>
        </w:tc>
        <w:tc>
          <w:tcPr>
            <w:tcW w:w="7121" w:type="dxa"/>
            <w:tcBorders>
              <w:top w:val="single" w:color="auto" w:sz="4" w:space="0"/>
              <w:left w:val="nil"/>
              <w:bottom w:val="single" w:color="auto" w:sz="4" w:space="0"/>
              <w:right w:val="single" w:color="auto" w:sz="4" w:space="0"/>
            </w:tcBorders>
            <w:vAlign w:val="center"/>
          </w:tcPr>
          <w:p w14:paraId="65721A0C">
            <w:pPr>
              <w:jc w:val="left"/>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施工要求：1.投标人须承诺：施工期间采用不停诊、分区分段割接方案，落实过渡期消防临时值守保障，搬迁割接期间保障全院消防系统不间断监测，承担施工期间消防安全责任。2.本项目完工后须完成消防设施检测、系统联调，配合完成消防验收/备案。消防设施检测相关费用包含在本项目投标总价内。3.不接受联合体投标，不允许转包、违法分包。</w:t>
            </w:r>
          </w:p>
        </w:tc>
      </w:tr>
      <w:tr w14:paraId="19B1D0B2">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E2B39AB">
            <w:pPr>
              <w:widowControl/>
              <w:jc w:val="center"/>
              <w:rPr>
                <w:rFonts w:ascii="宋体" w:hAnsi="宋体" w:eastAsia="宋体" w:cs="宋体"/>
                <w:sz w:val="32"/>
                <w:szCs w:val="32"/>
              </w:rPr>
            </w:pPr>
            <w:r>
              <w:rPr>
                <w:rFonts w:hint="eastAsia" w:ascii="宋体" w:hAnsi="宋体" w:eastAsia="宋体"/>
                <w:color w:val="000000"/>
                <w:sz w:val="24"/>
                <w:lang w:val="en-US" w:eastAsia="zh-CN"/>
              </w:rPr>
              <w:t>★</w:t>
            </w:r>
          </w:p>
        </w:tc>
        <w:tc>
          <w:tcPr>
            <w:tcW w:w="1134" w:type="dxa"/>
            <w:tcBorders>
              <w:top w:val="single" w:color="auto" w:sz="4" w:space="0"/>
              <w:left w:val="nil"/>
              <w:bottom w:val="single" w:color="auto" w:sz="4" w:space="0"/>
              <w:right w:val="single" w:color="auto" w:sz="4" w:space="0"/>
            </w:tcBorders>
            <w:vAlign w:val="center"/>
          </w:tcPr>
          <w:p w14:paraId="0756F757">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5</w:t>
            </w:r>
          </w:p>
        </w:tc>
        <w:tc>
          <w:tcPr>
            <w:tcW w:w="7121" w:type="dxa"/>
            <w:tcBorders>
              <w:top w:val="single" w:color="auto" w:sz="4" w:space="0"/>
              <w:left w:val="nil"/>
              <w:bottom w:val="single" w:color="auto" w:sz="4" w:space="0"/>
              <w:right w:val="single" w:color="auto" w:sz="4" w:space="0"/>
            </w:tcBorders>
            <w:vAlign w:val="center"/>
          </w:tcPr>
          <w:p w14:paraId="00A0C30F">
            <w:pPr>
              <w:jc w:val="left"/>
              <w:rPr>
                <w:rFonts w:hint="eastAsia" w:ascii="宋体" w:hAnsi="宋体" w:eastAsia="宋体" w:cs="宋体"/>
                <w:sz w:val="24"/>
                <w:szCs w:val="24"/>
                <w:lang w:val="en-US" w:eastAsia="zh-CN"/>
              </w:rPr>
            </w:pPr>
            <w:r>
              <w:rPr>
                <w:rFonts w:ascii="宋体" w:hAnsi="宋体" w:eastAsia="宋体" w:cs="宋体"/>
                <w:sz w:val="24"/>
                <w:szCs w:val="24"/>
              </w:rPr>
              <w:t>其他要求：投标人须为国内独立法人，具备有效营业执照；具备消防设施工程专业承包二级及以上资质、有效安全生产许可证；项目负责人为机电专业二级及以上注册建造师；不少于2名中级消防设施操作员</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施工人员</w:t>
            </w:r>
            <w:r>
              <w:rPr>
                <w:rFonts w:ascii="宋体" w:hAnsi="宋体" w:eastAsia="宋体" w:cs="宋体"/>
                <w:b w:val="0"/>
                <w:bCs w:val="0"/>
                <w:kern w:val="2"/>
                <w:sz w:val="24"/>
                <w:szCs w:val="24"/>
                <w:lang w:val="en-US" w:eastAsia="zh-CN" w:bidi="ar-SA"/>
              </w:rPr>
              <w:t>持证电工</w:t>
            </w:r>
            <w:r>
              <w:rPr>
                <w:rFonts w:ascii="宋体" w:hAnsi="宋体" w:eastAsia="宋体" w:cs="宋体"/>
                <w:sz w:val="24"/>
                <w:szCs w:val="24"/>
              </w:rPr>
              <w:t>；信用良好，无重大违法、失信记录，不接受联合体投标。本项为包干总价，包含线缆布放、固定、标识、端接、桥架、线管、辅材、施工、测试、路由调整、废弃线缆清运出场全部工作。</w:t>
            </w:r>
          </w:p>
        </w:tc>
      </w:tr>
    </w:tbl>
    <w:p w14:paraId="0A6ECC74">
      <w:pPr>
        <w:rPr>
          <w:rFonts w:ascii="宋体" w:hAnsi="宋体" w:eastAsia="宋体"/>
          <w:sz w:val="32"/>
          <w:szCs w:val="32"/>
        </w:rPr>
      </w:pPr>
      <w:r>
        <w:rPr>
          <w:rFonts w:hint="eastAsia" w:ascii="仿宋_GB2312" w:hAnsi="仿宋_GB2312" w:eastAsia="仿宋_GB2312" w:cs="仿宋_GB2312"/>
          <w:sz w:val="32"/>
          <w:szCs w:val="32"/>
          <w:lang w:val="en-US" w:eastAsia="zh-CN"/>
        </w:rPr>
        <w:t>包3</w:t>
      </w:r>
    </w:p>
    <w:tbl>
      <w:tblPr>
        <w:tblStyle w:val="15"/>
        <w:tblW w:w="9810" w:type="dxa"/>
        <w:jc w:val="center"/>
        <w:tblLayout w:type="fixed"/>
        <w:tblCellMar>
          <w:top w:w="0" w:type="dxa"/>
          <w:left w:w="108" w:type="dxa"/>
          <w:bottom w:w="0" w:type="dxa"/>
          <w:right w:w="108" w:type="dxa"/>
        </w:tblCellMar>
      </w:tblPr>
      <w:tblGrid>
        <w:gridCol w:w="1555"/>
        <w:gridCol w:w="1134"/>
        <w:gridCol w:w="7121"/>
      </w:tblGrid>
      <w:tr w14:paraId="2FF6A158">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55BCB4E3">
            <w:pPr>
              <w:widowControl/>
              <w:jc w:val="center"/>
              <w:rPr>
                <w:rFonts w:ascii="宋体" w:hAnsi="宋体" w:eastAsia="宋体" w:cs="宋体"/>
                <w:sz w:val="32"/>
                <w:szCs w:val="32"/>
              </w:rPr>
            </w:pPr>
            <w:r>
              <w:rPr>
                <w:rFonts w:hint="eastAsia" w:ascii="宋体" w:hAnsi="宋体" w:eastAsia="宋体" w:cs="宋体"/>
                <w:sz w:val="32"/>
                <w:szCs w:val="32"/>
              </w:rPr>
              <w:t>参数性质</w:t>
            </w:r>
          </w:p>
        </w:tc>
        <w:tc>
          <w:tcPr>
            <w:tcW w:w="1134" w:type="dxa"/>
            <w:tcBorders>
              <w:top w:val="single" w:color="auto" w:sz="4" w:space="0"/>
              <w:left w:val="nil"/>
              <w:bottom w:val="single" w:color="auto" w:sz="4" w:space="0"/>
              <w:right w:val="single" w:color="auto" w:sz="4" w:space="0"/>
            </w:tcBorders>
            <w:vAlign w:val="center"/>
          </w:tcPr>
          <w:p w14:paraId="1BF8AE49">
            <w:pPr>
              <w:widowControl/>
              <w:jc w:val="center"/>
              <w:rPr>
                <w:rFonts w:ascii="宋体" w:hAnsi="宋体" w:eastAsia="宋体" w:cs="宋体"/>
                <w:sz w:val="32"/>
                <w:szCs w:val="32"/>
              </w:rPr>
            </w:pPr>
            <w:r>
              <w:rPr>
                <w:rFonts w:hint="eastAsia" w:ascii="宋体" w:hAnsi="宋体" w:eastAsia="宋体" w:cs="宋体"/>
                <w:sz w:val="32"/>
                <w:szCs w:val="32"/>
              </w:rPr>
              <w:t>编号</w:t>
            </w:r>
          </w:p>
        </w:tc>
        <w:tc>
          <w:tcPr>
            <w:tcW w:w="7121" w:type="dxa"/>
            <w:tcBorders>
              <w:top w:val="single" w:color="auto" w:sz="4" w:space="0"/>
              <w:left w:val="nil"/>
              <w:bottom w:val="single" w:color="auto" w:sz="4" w:space="0"/>
              <w:right w:val="single" w:color="auto" w:sz="4" w:space="0"/>
            </w:tcBorders>
            <w:vAlign w:val="center"/>
          </w:tcPr>
          <w:p w14:paraId="41F22BCF">
            <w:pPr>
              <w:widowControl/>
              <w:jc w:val="center"/>
              <w:rPr>
                <w:rFonts w:ascii="宋体" w:hAnsi="宋体" w:eastAsia="宋体" w:cs="宋体"/>
                <w:sz w:val="32"/>
                <w:szCs w:val="32"/>
              </w:rPr>
            </w:pPr>
            <w:r>
              <w:rPr>
                <w:rFonts w:hint="eastAsia" w:ascii="宋体" w:hAnsi="宋体" w:eastAsia="宋体" w:cs="宋体"/>
                <w:sz w:val="32"/>
                <w:szCs w:val="32"/>
              </w:rPr>
              <w:t>技术参数和要求</w:t>
            </w:r>
          </w:p>
        </w:tc>
      </w:tr>
      <w:tr w14:paraId="1672CBC6">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AEF970A">
            <w:pPr>
              <w:widowControl/>
              <w:jc w:val="center"/>
              <w:rPr>
                <w:rFonts w:ascii="宋体" w:hAnsi="宋体" w:eastAsia="宋体" w:cs="宋体"/>
                <w:sz w:val="32"/>
                <w:szCs w:val="32"/>
              </w:rPr>
            </w:pPr>
            <w:r>
              <w:rPr>
                <w:rFonts w:hint="eastAsia" w:ascii="宋体" w:hAnsi="宋体" w:eastAsia="宋体"/>
                <w:color w:val="000000"/>
                <w:sz w:val="24"/>
                <w:lang w:val="en-US" w:eastAsia="zh-CN"/>
              </w:rPr>
              <w:t>★</w:t>
            </w:r>
          </w:p>
        </w:tc>
        <w:tc>
          <w:tcPr>
            <w:tcW w:w="1134" w:type="dxa"/>
            <w:tcBorders>
              <w:top w:val="single" w:color="auto" w:sz="4" w:space="0"/>
              <w:left w:val="nil"/>
              <w:bottom w:val="single" w:color="auto" w:sz="4" w:space="0"/>
              <w:right w:val="single" w:color="auto" w:sz="4" w:space="0"/>
            </w:tcBorders>
            <w:vAlign w:val="center"/>
          </w:tcPr>
          <w:p w14:paraId="53A9251E">
            <w:pPr>
              <w:widowControl/>
              <w:jc w:val="center"/>
              <w:rPr>
                <w:rFonts w:ascii="宋体" w:hAnsi="宋体" w:eastAsia="宋体" w:cs="宋体"/>
                <w:sz w:val="32"/>
                <w:szCs w:val="32"/>
              </w:rPr>
            </w:pPr>
            <w:r>
              <w:rPr>
                <w:rFonts w:hint="eastAsia" w:ascii="宋体" w:hAnsi="宋体" w:eastAsia="宋体" w:cs="宋体"/>
                <w:sz w:val="32"/>
                <w:szCs w:val="32"/>
              </w:rPr>
              <w:t>1</w:t>
            </w:r>
          </w:p>
        </w:tc>
        <w:tc>
          <w:tcPr>
            <w:tcW w:w="7121" w:type="dxa"/>
            <w:tcBorders>
              <w:top w:val="single" w:color="auto" w:sz="4" w:space="0"/>
              <w:left w:val="nil"/>
              <w:bottom w:val="single" w:color="auto" w:sz="4" w:space="0"/>
              <w:right w:val="single" w:color="auto" w:sz="4" w:space="0"/>
            </w:tcBorders>
            <w:vAlign w:val="center"/>
          </w:tcPr>
          <w:p w14:paraId="6F013D39">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rPr>
              <w:t>电数字无线主机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1台，</w:t>
            </w:r>
          </w:p>
          <w:p w14:paraId="610B7BC8">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一、传输方式；无线（三大运营商的物联网信号）</w:t>
            </w:r>
          </w:p>
          <w:p w14:paraId="6D9DAF0A">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二、传输协议：SIP，网络技术</w:t>
            </w:r>
          </w:p>
          <w:p w14:paraId="2A4C7ACD">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三、语音编码：G711/722，讲音质量：电信级别。支持SIP服务器，全双工模式对讲、回声消除、支持丢包补偿，自适应抖动传输。</w:t>
            </w:r>
          </w:p>
          <w:p w14:paraId="31694D07">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四、抗干扰，采用全数字技术。全数字编码，线路</w:t>
            </w:r>
          </w:p>
          <w:p w14:paraId="13AB7A4A">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无损耗。不受天气等影响，</w:t>
            </w:r>
          </w:p>
          <w:p w14:paraId="6B35D070">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五、工作电压：DC12V，2A</w:t>
            </w:r>
          </w:p>
          <w:p w14:paraId="34C10D4B">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六、工作温度范围：-10℃-70℃七、信号范围：中国</w:t>
            </w:r>
          </w:p>
          <w:p w14:paraId="63C128D2">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八、音量：大于60DB可调整。</w:t>
            </w:r>
          </w:p>
          <w:p w14:paraId="13BA0F95">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九、对码方式：手机小程序，轻松对码，用户可以通过小程序自己更换电梯呼号及名称。</w:t>
            </w:r>
          </w:p>
          <w:p w14:paraId="7AC4CFD0">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十、来电显示：电梯的名称、支持汉字和英文两种。</w:t>
            </w:r>
          </w:p>
          <w:p w14:paraId="576A123F">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十一、网络：以太网和互联网。主机可接外网使用</w:t>
            </w:r>
          </w:p>
          <w:p w14:paraId="32765932">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十二、设备包卡包流量，至少提供10年流量服务，期满后流量资费明确单价，采购人可自主选择服务商。</w:t>
            </w:r>
          </w:p>
          <w:p w14:paraId="02AAF232">
            <w:pPr>
              <w:widowControl/>
              <w:jc w:val="left"/>
              <w:rPr>
                <w:rFonts w:ascii="宋体" w:hAnsi="宋体" w:eastAsia="宋体" w:cs="宋体"/>
                <w:sz w:val="32"/>
                <w:szCs w:val="32"/>
              </w:rPr>
            </w:pPr>
            <w:r>
              <w:rPr>
                <w:rFonts w:ascii="宋体" w:hAnsi="宋体" w:eastAsia="宋体" w:cs="宋体"/>
                <w:sz w:val="24"/>
                <w:szCs w:val="24"/>
              </w:rPr>
              <w:t>生产厂家的售后服务承诺书，具有第三方检验报告，检测报告符合GB/T24475</w:t>
            </w:r>
            <w:r>
              <w:rPr>
                <w:rFonts w:ascii="宋体" w:hAnsi="宋体" w:eastAsia="宋体" w:cs="宋体"/>
                <w:sz w:val="24"/>
                <w:szCs w:val="24"/>
              </w:rPr>
              <w:noBreakHyphen/>
            </w:r>
            <w:r>
              <w:rPr>
                <w:rFonts w:ascii="宋体" w:hAnsi="宋体" w:eastAsia="宋体" w:cs="宋体"/>
                <w:sz w:val="24"/>
                <w:szCs w:val="24"/>
              </w:rPr>
              <w:t>2023《电梯远程报警系统》</w:t>
            </w:r>
          </w:p>
        </w:tc>
      </w:tr>
      <w:tr w14:paraId="5CE1A8B8">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511A7935">
            <w:pPr>
              <w:widowControl/>
              <w:jc w:val="center"/>
              <w:rPr>
                <w:rFonts w:ascii="宋体" w:hAnsi="宋体" w:eastAsia="宋体" w:cs="宋体"/>
                <w:sz w:val="32"/>
                <w:szCs w:val="32"/>
              </w:rPr>
            </w:pPr>
            <w:r>
              <w:rPr>
                <w:rFonts w:hint="eastAsia" w:ascii="宋体" w:hAnsi="宋体" w:eastAsia="宋体"/>
                <w:color w:val="000000"/>
                <w:sz w:val="24"/>
                <w:lang w:val="en-US" w:eastAsia="zh-CN"/>
              </w:rPr>
              <w:t>★</w:t>
            </w:r>
          </w:p>
        </w:tc>
        <w:tc>
          <w:tcPr>
            <w:tcW w:w="1134" w:type="dxa"/>
            <w:tcBorders>
              <w:top w:val="single" w:color="auto" w:sz="4" w:space="0"/>
              <w:left w:val="nil"/>
              <w:bottom w:val="single" w:color="auto" w:sz="4" w:space="0"/>
              <w:right w:val="single" w:color="auto" w:sz="4" w:space="0"/>
            </w:tcBorders>
            <w:vAlign w:val="center"/>
          </w:tcPr>
          <w:p w14:paraId="734E9DFE">
            <w:pPr>
              <w:widowControl/>
              <w:jc w:val="center"/>
              <w:rPr>
                <w:rFonts w:ascii="宋体" w:hAnsi="宋体" w:eastAsia="宋体" w:cs="宋体"/>
                <w:sz w:val="32"/>
                <w:szCs w:val="32"/>
              </w:rPr>
            </w:pPr>
            <w:r>
              <w:rPr>
                <w:rFonts w:hint="eastAsia" w:ascii="宋体" w:hAnsi="宋体" w:eastAsia="宋体" w:cs="宋体"/>
                <w:sz w:val="32"/>
                <w:szCs w:val="32"/>
              </w:rPr>
              <w:t>2</w:t>
            </w:r>
          </w:p>
        </w:tc>
        <w:tc>
          <w:tcPr>
            <w:tcW w:w="7121" w:type="dxa"/>
            <w:tcBorders>
              <w:top w:val="single" w:color="auto" w:sz="4" w:space="0"/>
              <w:left w:val="nil"/>
              <w:bottom w:val="single" w:color="auto" w:sz="4" w:space="0"/>
              <w:right w:val="single" w:color="auto" w:sz="4" w:space="0"/>
            </w:tcBorders>
            <w:shd w:val="clear" w:color="auto" w:fill="auto"/>
            <w:vAlign w:val="center"/>
          </w:tcPr>
          <w:p w14:paraId="112BF704">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数字无线分机：41台，</w:t>
            </w:r>
          </w:p>
          <w:p w14:paraId="103A5284">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一、传输方式:无线(运营商的物联网信号)</w:t>
            </w:r>
          </w:p>
          <w:p w14:paraId="575661D2">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二、传输协议:SIP，网络技术</w:t>
            </w:r>
          </w:p>
          <w:p w14:paraId="6639F92F">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三、语音编码:G.711/722，语音质量:电信级别，支持SIP服务器，全双工模式对讲、回声消除、支持丢包补偿，自适应抖动传输。</w:t>
            </w:r>
          </w:p>
          <w:p w14:paraId="33DB48FB">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四、抗干扰:采用全数字技术，全数字编码,线路无损耗，不受天气等原因影响。</w:t>
            </w:r>
          </w:p>
          <w:p w14:paraId="602BA3BF">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五、工作电压:DC12V，2A</w:t>
            </w:r>
          </w:p>
          <w:p w14:paraId="0C35D86E">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六、工作温度范围:-10℃-70℃</w:t>
            </w:r>
          </w:p>
          <w:p w14:paraId="4334689A">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七、信号范围:中国</w:t>
            </w:r>
          </w:p>
          <w:p w14:paraId="048FA44E">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八、音量:大于60DB可调整。</w:t>
            </w:r>
          </w:p>
          <w:p w14:paraId="50C04223">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九、对码方式:手机小程序，轻松对码，用户可以通过小程序设置呼叫主机地址。最多可以支持6台主机。</w:t>
            </w:r>
          </w:p>
          <w:p w14:paraId="70ED4279">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十、来电接听:主机呼叫分机，分机3秒内自动接听。</w:t>
            </w:r>
          </w:p>
          <w:p w14:paraId="494A41F9">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十一、网络:以太网和互联网。</w:t>
            </w:r>
          </w:p>
          <w:p w14:paraId="08A557A6">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十二、分机支持电梯数量:1-4台电梯，用户可以根据砚场情况适当选择。</w:t>
            </w:r>
          </w:p>
          <w:p w14:paraId="1E1539C0">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十三、可选配置语音网关，一键呼叫到维保或者物业安保人员手机上，一个分机可支持呼叫三个号码。</w:t>
            </w:r>
          </w:p>
          <w:p w14:paraId="49AAB7AB">
            <w:pPr>
              <w:widowControl/>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十四、呼叫带语音安抚功能</w:t>
            </w:r>
          </w:p>
          <w:p w14:paraId="2E45265E">
            <w:pPr>
              <w:widowControl/>
              <w:jc w:val="left"/>
              <w:rPr>
                <w:rFonts w:ascii="宋体" w:hAnsi="宋体" w:eastAsia="宋体" w:cs="宋体"/>
                <w:sz w:val="24"/>
                <w:szCs w:val="24"/>
              </w:rPr>
            </w:pPr>
            <w:r>
              <w:rPr>
                <w:rFonts w:ascii="宋体" w:hAnsi="宋体" w:eastAsia="宋体" w:cs="宋体"/>
                <w:sz w:val="24"/>
                <w:szCs w:val="24"/>
              </w:rPr>
              <w:t>分机防护等级不低于IP54；项目现场如物联网信号不足，中标人须免费配套信号增强设备，相关费用包含在投标总价。</w:t>
            </w:r>
          </w:p>
          <w:p w14:paraId="3A5E1FC6">
            <w:pPr>
              <w:widowControl/>
              <w:jc w:val="left"/>
              <w:rPr>
                <w:rFonts w:hint="default" w:ascii="宋体" w:hAnsi="宋体" w:eastAsia="仿宋" w:cs="宋体"/>
                <w:kern w:val="0"/>
                <w:sz w:val="24"/>
                <w:szCs w:val="24"/>
                <w:lang w:val="en-US" w:eastAsia="zh-CN" w:bidi="lo-LA"/>
              </w:rPr>
            </w:pPr>
            <w:r>
              <w:rPr>
                <w:rFonts w:ascii="宋体" w:hAnsi="宋体" w:eastAsia="宋体" w:cs="宋体"/>
                <w:sz w:val="24"/>
                <w:szCs w:val="24"/>
              </w:rPr>
              <w:t>生产厂家的售后服务承诺书，具有第三方检验报告，检测报告符合GB/T24475</w:t>
            </w:r>
            <w:r>
              <w:rPr>
                <w:rFonts w:ascii="宋体" w:hAnsi="宋体" w:eastAsia="宋体" w:cs="宋体"/>
                <w:sz w:val="24"/>
                <w:szCs w:val="24"/>
              </w:rPr>
              <w:noBreakHyphen/>
            </w:r>
            <w:r>
              <w:rPr>
                <w:rFonts w:ascii="宋体" w:hAnsi="宋体" w:eastAsia="宋体" w:cs="宋体"/>
                <w:sz w:val="24"/>
                <w:szCs w:val="24"/>
              </w:rPr>
              <w:t>2023《电梯远程报警系统》。</w:t>
            </w:r>
          </w:p>
        </w:tc>
      </w:tr>
      <w:tr w14:paraId="4DCF4BAE">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38F498B">
            <w:pPr>
              <w:widowControl/>
              <w:jc w:val="center"/>
              <w:rPr>
                <w:rFonts w:ascii="宋体" w:hAnsi="宋体" w:eastAsia="宋体" w:cs="宋体"/>
                <w:sz w:val="32"/>
                <w:szCs w:val="32"/>
              </w:rPr>
            </w:pPr>
          </w:p>
        </w:tc>
        <w:tc>
          <w:tcPr>
            <w:tcW w:w="1134" w:type="dxa"/>
            <w:tcBorders>
              <w:top w:val="single" w:color="auto" w:sz="4" w:space="0"/>
              <w:left w:val="nil"/>
              <w:bottom w:val="single" w:color="auto" w:sz="4" w:space="0"/>
              <w:right w:val="single" w:color="auto" w:sz="4" w:space="0"/>
            </w:tcBorders>
            <w:vAlign w:val="center"/>
          </w:tcPr>
          <w:p w14:paraId="3F0CE4CB">
            <w:pPr>
              <w:widowControl/>
              <w:jc w:val="center"/>
              <w:rPr>
                <w:rFonts w:ascii="宋体" w:hAnsi="宋体" w:eastAsia="宋体" w:cs="宋体"/>
                <w:sz w:val="32"/>
                <w:szCs w:val="32"/>
              </w:rPr>
            </w:pPr>
            <w:r>
              <w:rPr>
                <w:rFonts w:hint="eastAsia" w:ascii="宋体" w:hAnsi="宋体" w:eastAsia="宋体" w:cs="宋体"/>
                <w:sz w:val="32"/>
                <w:szCs w:val="32"/>
              </w:rPr>
              <w:t>3</w:t>
            </w:r>
          </w:p>
        </w:tc>
        <w:tc>
          <w:tcPr>
            <w:tcW w:w="7121" w:type="dxa"/>
            <w:tcBorders>
              <w:top w:val="single" w:color="auto" w:sz="4" w:space="0"/>
              <w:left w:val="nil"/>
              <w:bottom w:val="single" w:color="auto" w:sz="4" w:space="0"/>
              <w:right w:val="single" w:color="auto" w:sz="4" w:space="0"/>
            </w:tcBorders>
            <w:vAlign w:val="center"/>
          </w:tcPr>
          <w:p w14:paraId="6565CCA3">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应急电源：41个</w:t>
            </w:r>
          </w:p>
          <w:p w14:paraId="07BD881D">
            <w:pPr>
              <w:widowControl/>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输入电源:AC220V，50Hz</w:t>
            </w:r>
          </w:p>
          <w:p w14:paraId="6C6B400E">
            <w:pPr>
              <w:widowControl/>
              <w:jc w:val="left"/>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包含施工所需的线缆、线管、弯头、桥架等辅材；</w:t>
            </w:r>
          </w:p>
          <w:p w14:paraId="44960404">
            <w:pPr>
              <w:jc w:val="left"/>
              <w:rPr>
                <w:rFonts w:ascii="宋体" w:hAnsi="宋体" w:eastAsia="宋体" w:cs="宋体"/>
                <w:sz w:val="32"/>
                <w:szCs w:val="32"/>
              </w:rPr>
            </w:pPr>
            <w:r>
              <w:rPr>
                <w:rFonts w:hint="eastAsia" w:ascii="宋体" w:hAnsi="宋体" w:eastAsia="宋体" w:cs="宋体"/>
                <w:kern w:val="2"/>
                <w:sz w:val="24"/>
                <w:szCs w:val="24"/>
                <w:lang w:val="en-US" w:eastAsia="zh-CN" w:bidi="ar-SA"/>
              </w:rPr>
              <w:t>输出电压等匹配五方通话相关的主机设备；</w:t>
            </w:r>
            <w:r>
              <w:rPr>
                <w:rFonts w:ascii="宋体" w:hAnsi="宋体" w:eastAsia="宋体" w:cs="宋体"/>
                <w:sz w:val="24"/>
                <w:szCs w:val="24"/>
              </w:rPr>
              <w:t>断电后备续航≥30分钟，满足GB/T24475</w:t>
            </w:r>
            <w:r>
              <w:rPr>
                <w:rFonts w:ascii="宋体" w:hAnsi="宋体" w:eastAsia="宋体" w:cs="宋体"/>
                <w:sz w:val="24"/>
                <w:szCs w:val="24"/>
              </w:rPr>
              <w:noBreakHyphen/>
            </w:r>
            <w:r>
              <w:rPr>
                <w:rFonts w:ascii="宋体" w:hAnsi="宋体" w:eastAsia="宋体" w:cs="宋体"/>
                <w:sz w:val="24"/>
                <w:szCs w:val="24"/>
              </w:rPr>
              <w:t>2023国标要求。</w:t>
            </w:r>
          </w:p>
        </w:tc>
      </w:tr>
      <w:tr w14:paraId="1CA23193">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6B4F5F0">
            <w:pPr>
              <w:widowControl/>
              <w:jc w:val="center"/>
              <w:rPr>
                <w:rFonts w:ascii="宋体" w:hAnsi="宋体" w:eastAsia="宋体" w:cs="宋体"/>
                <w:sz w:val="32"/>
                <w:szCs w:val="32"/>
              </w:rPr>
            </w:pPr>
          </w:p>
        </w:tc>
        <w:tc>
          <w:tcPr>
            <w:tcW w:w="1134" w:type="dxa"/>
            <w:tcBorders>
              <w:top w:val="single" w:color="auto" w:sz="4" w:space="0"/>
              <w:left w:val="nil"/>
              <w:bottom w:val="single" w:color="auto" w:sz="4" w:space="0"/>
              <w:right w:val="single" w:color="auto" w:sz="4" w:space="0"/>
            </w:tcBorders>
            <w:vAlign w:val="center"/>
          </w:tcPr>
          <w:p w14:paraId="4EFD406D">
            <w:pPr>
              <w:widowControl/>
              <w:jc w:val="center"/>
              <w:rPr>
                <w:rFonts w:hint="eastAsia" w:ascii="宋体" w:hAnsi="宋体" w:eastAsia="宋体" w:cs="宋体"/>
                <w:sz w:val="32"/>
                <w:szCs w:val="32"/>
              </w:rPr>
            </w:pPr>
            <w:r>
              <w:rPr>
                <w:rFonts w:hint="eastAsia" w:ascii="宋体" w:hAnsi="宋体" w:cs="宋体"/>
                <w:kern w:val="0"/>
                <w:sz w:val="24"/>
                <w:szCs w:val="24"/>
                <w:lang w:val="en-US" w:eastAsia="zh-CN" w:bidi="lo-LA"/>
              </w:rPr>
              <w:t>4</w:t>
            </w:r>
          </w:p>
        </w:tc>
        <w:tc>
          <w:tcPr>
            <w:tcW w:w="7121" w:type="dxa"/>
            <w:tcBorders>
              <w:top w:val="single" w:color="auto" w:sz="4" w:space="0"/>
              <w:left w:val="nil"/>
              <w:bottom w:val="single" w:color="auto" w:sz="4" w:space="0"/>
              <w:right w:val="single" w:color="auto" w:sz="4" w:space="0"/>
            </w:tcBorders>
            <w:vAlign w:val="center"/>
          </w:tcPr>
          <w:p w14:paraId="555FF1AF">
            <w:pPr>
              <w:jc w:val="left"/>
              <w:rPr>
                <w:rFonts w:ascii="宋体" w:hAnsi="宋体" w:eastAsia="宋体" w:cs="宋体"/>
                <w:sz w:val="32"/>
                <w:szCs w:val="32"/>
              </w:rPr>
            </w:pPr>
            <w:r>
              <w:rPr>
                <w:rFonts w:hint="eastAsia" w:ascii="宋体" w:hAnsi="宋体" w:eastAsia="宋体" w:cs="宋体"/>
                <w:sz w:val="24"/>
                <w:szCs w:val="24"/>
                <w:lang w:val="en-US" w:eastAsia="zh-CN"/>
              </w:rPr>
              <w:t>五方对讲安装调试：</w:t>
            </w:r>
            <w:r>
              <w:rPr>
                <w:rFonts w:ascii="宋体" w:hAnsi="宋体" w:eastAsia="宋体" w:cs="宋体"/>
                <w:sz w:val="24"/>
                <w:szCs w:val="24"/>
              </w:rPr>
              <w:t>完成医院41部电梯五方对讲系统安装及调试工作。包含对讲设备布放、线缆敷设、接线、机房主机安装、轿厢/轿顶/底坑、值班室分机安装，设备上电、通话测试、回路核查、故障排查、全系统联调，确保电梯轿厢、轿顶、底坑、电梯机房、消防监控值班室五方通话清晰稳定，双向语音通讯可靠；同步完成点位标识、调试记录、竣工资料编制、试运行及验收交付等全部工作。施工须符合电梯相关规范及消防要求，不得对电梯原有安全回路造成影响。调试完成后须联合电梯维保单位共同测试确认。本项为包干总价，包含线缆布放、固定、标识、端接、桥架、线管、辅材、施工、测试、路由调整、废弃线缆清运出场全部工作。</w:t>
            </w:r>
          </w:p>
        </w:tc>
      </w:tr>
    </w:tbl>
    <w:p w14:paraId="739820E0">
      <w:pPr>
        <w:pStyle w:val="19"/>
        <w:ind w:left="0" w:leftChars="0" w:firstLine="0" w:firstLineChars="0"/>
        <w:rPr>
          <w:rFonts w:hint="eastAsia" w:ascii="宋体" w:hAnsi="宋体" w:eastAsia="宋体" w:cs="宋体"/>
          <w:sz w:val="32"/>
          <w:szCs w:val="32"/>
        </w:rPr>
      </w:pPr>
    </w:p>
    <w:p w14:paraId="7881F720">
      <w:pPr>
        <w:pStyle w:val="19"/>
        <w:ind w:left="0" w:leftChars="0" w:firstLine="0" w:firstLineChars="0"/>
        <w:rPr>
          <w:rFonts w:hint="eastAsia" w:ascii="宋体" w:hAnsi="宋体" w:eastAsia="宋体" w:cs="宋体"/>
          <w:sz w:val="32"/>
          <w:szCs w:val="32"/>
        </w:rPr>
      </w:pPr>
    </w:p>
    <w:p w14:paraId="101853A7">
      <w:pPr>
        <w:pStyle w:val="19"/>
        <w:ind w:left="0" w:leftChars="0" w:firstLine="0" w:firstLineChars="0"/>
        <w:rPr>
          <w:rFonts w:hint="eastAsia" w:ascii="宋体" w:hAnsi="宋体" w:eastAsia="宋体" w:cs="宋体"/>
          <w:sz w:val="32"/>
          <w:szCs w:val="32"/>
        </w:rPr>
      </w:pPr>
    </w:p>
    <w:p w14:paraId="1AE87DB3">
      <w:pPr>
        <w:pStyle w:val="19"/>
        <w:ind w:left="0" w:leftChars="0" w:firstLine="0" w:firstLineChars="0"/>
        <w:rPr>
          <w:rFonts w:hint="eastAsia" w:ascii="宋体" w:hAnsi="宋体" w:eastAsia="宋体" w:cs="宋体"/>
          <w:sz w:val="32"/>
          <w:szCs w:val="32"/>
        </w:rPr>
      </w:pPr>
    </w:p>
    <w:p w14:paraId="2D1B5625">
      <w:pPr>
        <w:pStyle w:val="19"/>
        <w:ind w:left="0" w:leftChars="0" w:firstLine="0" w:firstLineChars="0"/>
        <w:rPr>
          <w:rFonts w:hint="eastAsia" w:ascii="宋体" w:hAnsi="宋体" w:eastAsia="宋体" w:cs="宋体"/>
          <w:sz w:val="32"/>
          <w:szCs w:val="32"/>
        </w:rPr>
      </w:pPr>
    </w:p>
    <w:p w14:paraId="06050E77">
      <w:pPr>
        <w:pStyle w:val="19"/>
        <w:ind w:left="0" w:leftChars="0" w:firstLine="0" w:firstLineChars="0"/>
        <w:rPr>
          <w:rFonts w:hint="eastAsia" w:ascii="宋体" w:hAnsi="宋体" w:eastAsia="宋体" w:cs="宋体"/>
          <w:sz w:val="32"/>
          <w:szCs w:val="32"/>
        </w:rPr>
      </w:pPr>
    </w:p>
    <w:p w14:paraId="2B801570">
      <w:pPr>
        <w:pStyle w:val="19"/>
        <w:ind w:left="0" w:leftChars="0" w:firstLine="0" w:firstLineChars="0"/>
        <w:rPr>
          <w:rFonts w:hint="eastAsia" w:ascii="宋体" w:hAnsi="宋体" w:eastAsia="宋体" w:cs="宋体"/>
          <w:sz w:val="32"/>
          <w:szCs w:val="32"/>
        </w:rPr>
      </w:pPr>
    </w:p>
    <w:p w14:paraId="46FBA501">
      <w:pPr>
        <w:pStyle w:val="19"/>
        <w:ind w:left="0" w:leftChars="0" w:firstLine="0" w:firstLineChars="0"/>
        <w:rPr>
          <w:rFonts w:hint="eastAsia" w:ascii="宋体" w:hAnsi="宋体" w:eastAsia="宋体" w:cs="宋体"/>
          <w:sz w:val="32"/>
          <w:szCs w:val="32"/>
        </w:rPr>
      </w:pPr>
    </w:p>
    <w:p w14:paraId="08676932">
      <w:pPr>
        <w:pStyle w:val="19"/>
        <w:ind w:left="0" w:leftChars="0" w:firstLine="0" w:firstLineChars="0"/>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投标方须提供近三年内至少2场同类学术会议的成功案例（提供合同复印或扫描件）</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480" w:firstLineChars="20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本项目涉及的相关货物、设备</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C1EDE06-E728-4018-B263-7640E69C30DE}"/>
  </w:font>
  <w:font w:name="黑体">
    <w:panose1 w:val="02010609060101010101"/>
    <w:charset w:val="86"/>
    <w:family w:val="auto"/>
    <w:pitch w:val="default"/>
    <w:sig w:usb0="800002BF" w:usb1="38CF7CFA" w:usb2="00000016" w:usb3="00000000" w:csb0="00040001" w:csb1="00000000"/>
    <w:embedRegular r:id="rId2" w:fontKey="{0C10E858-D746-40C3-ABEF-CEE14D2368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3" w:fontKey="{37341A9E-0506-4F1E-A8F9-3689FF6385D2}"/>
  </w:font>
  <w:font w:name="Calibri Light">
    <w:panose1 w:val="020F0302020204030204"/>
    <w:charset w:val="00"/>
    <w:family w:val="auto"/>
    <w:pitch w:val="default"/>
    <w:sig w:usb0="E4002EFF" w:usb1="C200247B" w:usb2="00000009" w:usb3="00000000" w:csb0="200001FF" w:csb1="00000000"/>
    <w:embedRegular r:id="rId4" w:fontKey="{4FB1CC03-ED4C-46C5-AB4A-B1E2A745D5B2}"/>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embedRegular r:id="rId5" w:fontKey="{7B39C841-027B-47D7-BABB-60806B4F1084}"/>
  </w:font>
  <w:font w:name="仿宋">
    <w:panose1 w:val="02010609060101010101"/>
    <w:charset w:val="86"/>
    <w:family w:val="auto"/>
    <w:pitch w:val="default"/>
    <w:sig w:usb0="800002BF" w:usb1="38CF7CFA" w:usb2="00000016" w:usb3="00000000" w:csb0="00040001" w:csb1="00000000"/>
    <w:embedRegular r:id="rId6" w:fontKey="{6CB45EDF-6E71-428E-B0EA-384ADA4BF438}"/>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39BE65"/>
    <w:multiLevelType w:val="singleLevel"/>
    <w:tmpl w:val="CA39BE65"/>
    <w:lvl w:ilvl="0" w:tentative="0">
      <w:start w:val="2"/>
      <w:numFmt w:val="chineseCounting"/>
      <w:suff w:val="nothing"/>
      <w:lvlText w:val="%1、"/>
      <w:lvlJc w:val="left"/>
      <w:rPr>
        <w:rFonts w:hint="eastAsia"/>
      </w:rPr>
    </w:lvl>
  </w:abstractNum>
  <w:abstractNum w:abstractNumId="1">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2">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762148DF"/>
    <w:multiLevelType w:val="singleLevel"/>
    <w:tmpl w:val="762148DF"/>
    <w:lvl w:ilvl="0" w:tentative="0">
      <w:start w:val="14"/>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64226E"/>
    <w:rsid w:val="05C059CD"/>
    <w:rsid w:val="060F2F14"/>
    <w:rsid w:val="06B07F83"/>
    <w:rsid w:val="06F04422"/>
    <w:rsid w:val="07B70A9C"/>
    <w:rsid w:val="07EE0F70"/>
    <w:rsid w:val="080A65A2"/>
    <w:rsid w:val="0CC91539"/>
    <w:rsid w:val="0DA07F51"/>
    <w:rsid w:val="0DAD62ED"/>
    <w:rsid w:val="0F4E11A2"/>
    <w:rsid w:val="10147A6C"/>
    <w:rsid w:val="10D60D02"/>
    <w:rsid w:val="114A4798"/>
    <w:rsid w:val="11AB1717"/>
    <w:rsid w:val="11EF4694"/>
    <w:rsid w:val="150E71F6"/>
    <w:rsid w:val="1615659E"/>
    <w:rsid w:val="1696735F"/>
    <w:rsid w:val="16AE783C"/>
    <w:rsid w:val="16E14FBF"/>
    <w:rsid w:val="19545A30"/>
    <w:rsid w:val="198E5E9E"/>
    <w:rsid w:val="19BD2CB7"/>
    <w:rsid w:val="1A9D7FC6"/>
    <w:rsid w:val="1BB9254A"/>
    <w:rsid w:val="1BCA010B"/>
    <w:rsid w:val="1DCA77EF"/>
    <w:rsid w:val="1E31141A"/>
    <w:rsid w:val="1ED20D4A"/>
    <w:rsid w:val="20341AF8"/>
    <w:rsid w:val="2092329D"/>
    <w:rsid w:val="21306D84"/>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9BC33C5"/>
    <w:rsid w:val="2B28723B"/>
    <w:rsid w:val="2B5C1706"/>
    <w:rsid w:val="2B8A6B32"/>
    <w:rsid w:val="2BAC4D24"/>
    <w:rsid w:val="2D1D3BDB"/>
    <w:rsid w:val="2D833519"/>
    <w:rsid w:val="2DFB03C5"/>
    <w:rsid w:val="2E9A7B6E"/>
    <w:rsid w:val="2FC378C6"/>
    <w:rsid w:val="2FD9098F"/>
    <w:rsid w:val="2FDF17DF"/>
    <w:rsid w:val="302671DA"/>
    <w:rsid w:val="302A1EA4"/>
    <w:rsid w:val="30D15875"/>
    <w:rsid w:val="315102CC"/>
    <w:rsid w:val="32441EA5"/>
    <w:rsid w:val="3281623F"/>
    <w:rsid w:val="32944704"/>
    <w:rsid w:val="3436075B"/>
    <w:rsid w:val="34D54377"/>
    <w:rsid w:val="354D1D5F"/>
    <w:rsid w:val="357A0FA3"/>
    <w:rsid w:val="358C55C3"/>
    <w:rsid w:val="378A70E6"/>
    <w:rsid w:val="37FC75FC"/>
    <w:rsid w:val="383D56F7"/>
    <w:rsid w:val="38AA5095"/>
    <w:rsid w:val="393C0F46"/>
    <w:rsid w:val="3B993DF9"/>
    <w:rsid w:val="3C184783"/>
    <w:rsid w:val="3D527E27"/>
    <w:rsid w:val="3E122A76"/>
    <w:rsid w:val="3E650D1D"/>
    <w:rsid w:val="3E9002A8"/>
    <w:rsid w:val="3F552A03"/>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9265892"/>
    <w:rsid w:val="5A17370E"/>
    <w:rsid w:val="5A3E44A5"/>
    <w:rsid w:val="5BE32D83"/>
    <w:rsid w:val="5C344BB6"/>
    <w:rsid w:val="5CFE4042"/>
    <w:rsid w:val="5DFF20EB"/>
    <w:rsid w:val="5E1C5429"/>
    <w:rsid w:val="5ED418C8"/>
    <w:rsid w:val="5EF71E76"/>
    <w:rsid w:val="5F6B5D8A"/>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B5E287A"/>
    <w:rsid w:val="6C0D60E9"/>
    <w:rsid w:val="6C852557"/>
    <w:rsid w:val="6CC71984"/>
    <w:rsid w:val="6CF91F25"/>
    <w:rsid w:val="6D4F63E7"/>
    <w:rsid w:val="6EF0008F"/>
    <w:rsid w:val="6F236889"/>
    <w:rsid w:val="6F3911E0"/>
    <w:rsid w:val="6F5104C0"/>
    <w:rsid w:val="6F7A7F8F"/>
    <w:rsid w:val="704F20EA"/>
    <w:rsid w:val="70CD0FAF"/>
    <w:rsid w:val="710F0089"/>
    <w:rsid w:val="719B7B32"/>
    <w:rsid w:val="71DA20A9"/>
    <w:rsid w:val="723E077B"/>
    <w:rsid w:val="729612D6"/>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2"/>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首行缩进1"/>
    <w:qFormat/>
    <w:uiPriority w:val="0"/>
    <w:pPr>
      <w:ind w:firstLine="420"/>
    </w:pPr>
    <w:rPr>
      <w:rFonts w:ascii="Times New Roman" w:hAnsi="Times New Roman" w:eastAsia="Times New Roman" w:cs="Times New Roman"/>
      <w:lang w:val="en-US" w:eastAsia="zh-CN" w:bidi="ar-SA"/>
    </w:rPr>
  </w:style>
  <w:style w:type="paragraph" w:customStyle="1" w:styleId="20">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1">
    <w:name w:val="List Paragraph"/>
    <w:basedOn w:val="1"/>
    <w:qFormat/>
    <w:uiPriority w:val="26"/>
    <w:pPr>
      <w:ind w:firstLine="200"/>
    </w:pPr>
    <w:rPr>
      <w:rFonts w:ascii="Times New Roman" w:hAnsi="Times New Roman" w:eastAsia="宋体" w:cs="Times New Roman"/>
      <w:sz w:val="28"/>
      <w:szCs w:val="28"/>
    </w:rPr>
  </w:style>
  <w:style w:type="character" w:customStyle="1" w:styleId="22">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3">
    <w:name w:val="font11"/>
    <w:basedOn w:val="17"/>
    <w:autoRedefine/>
    <w:qFormat/>
    <w:uiPriority w:val="0"/>
    <w:rPr>
      <w:rFonts w:hint="eastAsia" w:ascii="宋体" w:hAnsi="宋体" w:eastAsia="宋体" w:cs="宋体"/>
      <w:color w:val="000000"/>
      <w:sz w:val="24"/>
      <w:szCs w:val="24"/>
      <w:u w:val="none"/>
    </w:rPr>
  </w:style>
  <w:style w:type="character" w:customStyle="1" w:styleId="24">
    <w:name w:val="font31"/>
    <w:basedOn w:val="17"/>
    <w:autoRedefine/>
    <w:qFormat/>
    <w:uiPriority w:val="0"/>
    <w:rPr>
      <w:rFonts w:hint="eastAsia" w:ascii="宋体" w:hAnsi="宋体" w:eastAsia="宋体" w:cs="宋体"/>
      <w:color w:val="000000"/>
      <w:sz w:val="21"/>
      <w:szCs w:val="21"/>
      <w:u w:val="none"/>
    </w:rPr>
  </w:style>
  <w:style w:type="paragraph" w:customStyle="1" w:styleId="25">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6">
    <w:name w:val="font41"/>
    <w:basedOn w:val="17"/>
    <w:autoRedefine/>
    <w:qFormat/>
    <w:uiPriority w:val="0"/>
    <w:rPr>
      <w:rFonts w:ascii="Calibri" w:hAnsi="Calibri" w:cs="Calibri"/>
      <w:color w:val="000000"/>
      <w:sz w:val="28"/>
      <w:szCs w:val="28"/>
      <w:u w:val="none"/>
    </w:rPr>
  </w:style>
  <w:style w:type="character" w:customStyle="1" w:styleId="27">
    <w:name w:val="font21"/>
    <w:basedOn w:val="17"/>
    <w:autoRedefine/>
    <w:qFormat/>
    <w:uiPriority w:val="0"/>
    <w:rPr>
      <w:rFonts w:hint="eastAsia" w:ascii="宋体" w:hAnsi="宋体" w:eastAsia="宋体" w:cs="宋体"/>
      <w:color w:val="000000"/>
      <w:sz w:val="21"/>
      <w:szCs w:val="21"/>
      <w:u w:val="none"/>
    </w:rPr>
  </w:style>
  <w:style w:type="table" w:customStyle="1" w:styleId="28">
    <w:name w:val="网格型1"/>
    <w:basedOn w:val="29"/>
    <w:qFormat/>
    <w:uiPriority w:val="0"/>
    <w:pPr>
      <w:widowControl w:val="0"/>
      <w:jc w:val="both"/>
    </w:pPr>
  </w:style>
  <w:style w:type="table" w:customStyle="1" w:styleId="29">
    <w:name w:val="普通表格1"/>
    <w:semiHidden/>
    <w:qFormat/>
    <w:uiPriority w:val="0"/>
  </w:style>
  <w:style w:type="character" w:customStyle="1" w:styleId="30">
    <w:name w:val="font51"/>
    <w:basedOn w:val="17"/>
    <w:qFormat/>
    <w:uiPriority w:val="0"/>
    <w:rPr>
      <w:rFonts w:ascii="Calibri" w:hAnsi="Calibri" w:cs="Calibri"/>
      <w:color w:val="000000"/>
      <w:sz w:val="22"/>
      <w:szCs w:val="22"/>
      <w:u w:val="none"/>
    </w:rPr>
  </w:style>
  <w:style w:type="paragraph" w:customStyle="1" w:styleId="31">
    <w:name w:val="Table Text"/>
    <w:basedOn w:val="1"/>
    <w:semiHidden/>
    <w:qFormat/>
    <w:uiPriority w:val="0"/>
    <w:rPr>
      <w:rFonts w:ascii="宋体" w:hAnsi="宋体" w:eastAsia="宋体" w:cs="宋体"/>
      <w:sz w:val="22"/>
      <w:szCs w:val="22"/>
      <w:lang w:val="en-US" w:eastAsia="en-US" w:bidi="ar-SA"/>
    </w:rPr>
  </w:style>
  <w:style w:type="table" w:customStyle="1" w:styleId="3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27</Pages>
  <Words>42</Words>
  <Characters>47</Characters>
  <Lines>0</Lines>
  <Paragraphs>0</Paragraphs>
  <TotalTime>1</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2026-10-22T08:51:51Z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3E318B14CDB74529BBEEC01C8906F99B_13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